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EA" w:rsidRDefault="006F3668">
      <w:pPr>
        <w:jc w:val="center"/>
        <w:rPr>
          <w:rFonts w:ascii="Arial" w:eastAsia="Arial" w:hAnsi="Arial" w:cs="Arial"/>
          <w:b/>
        </w:rPr>
      </w:pPr>
      <w:r>
        <w:rPr>
          <w:rFonts w:ascii="Arial" w:eastAsia="Arial" w:hAnsi="Arial" w:cs="Arial"/>
          <w:b/>
        </w:rPr>
        <w:t xml:space="preserve">SOCIALIZACIÓN LÍNEA GESTIÓN INSTITUCIONAL </w:t>
      </w:r>
      <w:r w:rsidR="007405AF">
        <w:rPr>
          <w:rFonts w:ascii="Arial" w:eastAsia="Arial" w:hAnsi="Arial" w:cs="Arial"/>
          <w:b/>
        </w:rPr>
        <w:t>VIGENCIA 2022</w:t>
      </w:r>
      <w:bookmarkStart w:id="0" w:name="_GoBack"/>
      <w:bookmarkEnd w:id="0"/>
    </w:p>
    <w:p w:rsidR="008B73EA" w:rsidRDefault="008B73EA">
      <w:pPr>
        <w:jc w:val="center"/>
        <w:rPr>
          <w:rFonts w:ascii="Arial" w:eastAsia="Arial" w:hAnsi="Arial" w:cs="Arial"/>
          <w:b/>
        </w:rPr>
      </w:pPr>
    </w:p>
    <w:p w:rsidR="008B73EA" w:rsidRDefault="006F3668">
      <w:pPr>
        <w:rPr>
          <w:rFonts w:ascii="Arial" w:eastAsia="Arial" w:hAnsi="Arial" w:cs="Arial"/>
          <w:b/>
        </w:rPr>
      </w:pPr>
      <w:r>
        <w:rPr>
          <w:rFonts w:ascii="Arial" w:eastAsia="Arial" w:hAnsi="Arial" w:cs="Arial"/>
          <w:b/>
        </w:rPr>
        <w:t>Ejecución Presupuestal</w:t>
      </w:r>
    </w:p>
    <w:p w:rsidR="009E6A20" w:rsidRDefault="009E6A20">
      <w:pPr>
        <w:rPr>
          <w:rFonts w:ascii="Arial" w:eastAsia="Arial" w:hAnsi="Arial" w:cs="Arial"/>
          <w:b/>
        </w:rPr>
      </w:pPr>
    </w:p>
    <w:p w:rsidR="009E6A20" w:rsidRDefault="00FD24C6">
      <w:pPr>
        <w:jc w:val="both"/>
        <w:rPr>
          <w:rFonts w:ascii="Arial" w:eastAsia="Arial" w:hAnsi="Arial" w:cs="Arial"/>
        </w:rPr>
      </w:pPr>
      <w:r>
        <w:rPr>
          <w:rFonts w:ascii="Arial" w:eastAsia="Arial" w:hAnsi="Arial" w:cs="Arial"/>
        </w:rPr>
        <w:t>El presupuesto</w:t>
      </w:r>
      <w:r w:rsidR="009E6A20">
        <w:rPr>
          <w:rFonts w:ascii="Arial" w:eastAsia="Arial" w:hAnsi="Arial" w:cs="Arial"/>
        </w:rPr>
        <w:t xml:space="preserve"> </w:t>
      </w:r>
      <w:r>
        <w:rPr>
          <w:rFonts w:ascii="Arial" w:eastAsia="Arial" w:hAnsi="Arial" w:cs="Arial"/>
        </w:rPr>
        <w:t>asignado para</w:t>
      </w:r>
      <w:r w:rsidR="009E6A20">
        <w:rPr>
          <w:rFonts w:ascii="Arial" w:eastAsia="Arial" w:hAnsi="Arial" w:cs="Arial"/>
        </w:rPr>
        <w:t xml:space="preserve"> </w:t>
      </w:r>
      <w:r>
        <w:rPr>
          <w:rFonts w:ascii="Arial" w:eastAsia="Arial" w:hAnsi="Arial" w:cs="Arial"/>
        </w:rPr>
        <w:t>el IDEP en la vigencia 2022</w:t>
      </w:r>
      <w:r w:rsidR="009E6A20">
        <w:rPr>
          <w:rFonts w:ascii="Arial" w:eastAsia="Arial" w:hAnsi="Arial" w:cs="Arial"/>
        </w:rPr>
        <w:t xml:space="preserve"> fue de $13.021,1 millones de pesos</w:t>
      </w:r>
      <w:r w:rsidR="006F3668">
        <w:rPr>
          <w:rFonts w:ascii="Arial" w:eastAsia="Arial" w:hAnsi="Arial" w:cs="Arial"/>
        </w:rPr>
        <w:t>,</w:t>
      </w:r>
      <w:r>
        <w:rPr>
          <w:rFonts w:ascii="Arial" w:eastAsia="Arial" w:hAnsi="Arial" w:cs="Arial"/>
        </w:rPr>
        <w:t xml:space="preserve"> se apropió para el rubro de funcionamiento la suma de $6.996,3</w:t>
      </w:r>
      <w:r w:rsidR="00EC4771">
        <w:rPr>
          <w:rFonts w:ascii="Arial" w:eastAsia="Arial" w:hAnsi="Arial" w:cs="Arial"/>
        </w:rPr>
        <w:t xml:space="preserve"> millones</w:t>
      </w:r>
      <w:r>
        <w:rPr>
          <w:rFonts w:ascii="Arial" w:eastAsia="Arial" w:hAnsi="Arial" w:cs="Arial"/>
        </w:rPr>
        <w:t xml:space="preserve"> </w:t>
      </w:r>
      <w:r w:rsidR="00EC4771">
        <w:rPr>
          <w:rFonts w:ascii="Arial" w:eastAsia="Arial" w:hAnsi="Arial" w:cs="Arial"/>
        </w:rPr>
        <w:t>que corresponden al 53.50% del presupuesto asignado</w:t>
      </w:r>
      <w:r w:rsidR="009E6A20">
        <w:rPr>
          <w:rFonts w:ascii="Arial" w:eastAsia="Arial" w:hAnsi="Arial" w:cs="Arial"/>
        </w:rPr>
        <w:t>,</w:t>
      </w:r>
      <w:r w:rsidR="00EC4771">
        <w:rPr>
          <w:rFonts w:ascii="Arial" w:eastAsia="Arial" w:hAnsi="Arial" w:cs="Arial"/>
        </w:rPr>
        <w:t xml:space="preserve"> para el rubro de inversión se apropió la suma de</w:t>
      </w:r>
      <w:r w:rsidR="009E6A20">
        <w:rPr>
          <w:rFonts w:ascii="Arial" w:eastAsia="Arial" w:hAnsi="Arial" w:cs="Arial"/>
        </w:rPr>
        <w:t xml:space="preserve"> $6.054,8 millones</w:t>
      </w:r>
      <w:r w:rsidR="00EC4771">
        <w:rPr>
          <w:rFonts w:ascii="Arial" w:eastAsia="Arial" w:hAnsi="Arial" w:cs="Arial"/>
        </w:rPr>
        <w:t xml:space="preserve"> que</w:t>
      </w:r>
      <w:r w:rsidR="00A4767E">
        <w:rPr>
          <w:rFonts w:ascii="Arial" w:eastAsia="Arial" w:hAnsi="Arial" w:cs="Arial"/>
        </w:rPr>
        <w:t xml:space="preserve"> correspondientes al 46.5</w:t>
      </w:r>
      <w:r w:rsidR="00EC4771">
        <w:rPr>
          <w:rFonts w:ascii="Arial" w:eastAsia="Arial" w:hAnsi="Arial" w:cs="Arial"/>
        </w:rPr>
        <w:t>0</w:t>
      </w:r>
      <w:r w:rsidR="00A4767E">
        <w:rPr>
          <w:rFonts w:ascii="Arial" w:eastAsia="Arial" w:hAnsi="Arial" w:cs="Arial"/>
        </w:rPr>
        <w:t>%</w:t>
      </w:r>
      <w:r w:rsidR="00EC4771">
        <w:rPr>
          <w:rFonts w:ascii="Arial" w:eastAsia="Arial" w:hAnsi="Arial" w:cs="Arial"/>
        </w:rPr>
        <w:t xml:space="preserve"> del total del presupuesto</w:t>
      </w:r>
      <w:r w:rsidR="00A4767E">
        <w:rPr>
          <w:rFonts w:ascii="Arial" w:eastAsia="Arial" w:hAnsi="Arial" w:cs="Arial"/>
        </w:rPr>
        <w:t>.</w:t>
      </w:r>
    </w:p>
    <w:p w:rsidR="00711F9D" w:rsidRDefault="00711F9D">
      <w:pPr>
        <w:jc w:val="both"/>
        <w:rPr>
          <w:rFonts w:ascii="Arial" w:eastAsia="Arial" w:hAnsi="Arial" w:cs="Arial"/>
        </w:rPr>
      </w:pPr>
    </w:p>
    <w:tbl>
      <w:tblPr>
        <w:tblW w:w="9096" w:type="dxa"/>
        <w:tblCellMar>
          <w:left w:w="70" w:type="dxa"/>
          <w:right w:w="70" w:type="dxa"/>
        </w:tblCellMar>
        <w:tblLook w:val="04A0" w:firstRow="1" w:lastRow="0" w:firstColumn="1" w:lastColumn="0" w:noHBand="0" w:noVBand="1"/>
      </w:tblPr>
      <w:tblGrid>
        <w:gridCol w:w="1982"/>
        <w:gridCol w:w="1321"/>
        <w:gridCol w:w="969"/>
        <w:gridCol w:w="1674"/>
        <w:gridCol w:w="837"/>
        <w:gridCol w:w="1388"/>
        <w:gridCol w:w="925"/>
      </w:tblGrid>
      <w:tr w:rsidR="00B84239" w:rsidRPr="00B84239" w:rsidTr="00B84239">
        <w:trPr>
          <w:trHeight w:val="300"/>
        </w:trPr>
        <w:tc>
          <w:tcPr>
            <w:tcW w:w="198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Concepto</w:t>
            </w:r>
          </w:p>
        </w:tc>
        <w:tc>
          <w:tcPr>
            <w:tcW w:w="1321" w:type="dxa"/>
            <w:tcBorders>
              <w:top w:val="single" w:sz="4" w:space="0" w:color="auto"/>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Apropiado</w:t>
            </w:r>
          </w:p>
        </w:tc>
        <w:tc>
          <w:tcPr>
            <w:tcW w:w="969" w:type="dxa"/>
            <w:tcBorders>
              <w:top w:val="single" w:sz="4" w:space="0" w:color="auto"/>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w:t>
            </w:r>
          </w:p>
        </w:tc>
        <w:tc>
          <w:tcPr>
            <w:tcW w:w="1674" w:type="dxa"/>
            <w:tcBorders>
              <w:top w:val="single" w:sz="4" w:space="0" w:color="auto"/>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Compromisos</w:t>
            </w:r>
          </w:p>
        </w:tc>
        <w:tc>
          <w:tcPr>
            <w:tcW w:w="837" w:type="dxa"/>
            <w:tcBorders>
              <w:top w:val="single" w:sz="4" w:space="0" w:color="auto"/>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w:t>
            </w:r>
          </w:p>
        </w:tc>
        <w:tc>
          <w:tcPr>
            <w:tcW w:w="1388" w:type="dxa"/>
            <w:tcBorders>
              <w:top w:val="single" w:sz="4" w:space="0" w:color="auto"/>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Giros</w:t>
            </w:r>
          </w:p>
        </w:tc>
        <w:tc>
          <w:tcPr>
            <w:tcW w:w="925" w:type="dxa"/>
            <w:tcBorders>
              <w:top w:val="single" w:sz="4" w:space="0" w:color="auto"/>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w:t>
            </w:r>
          </w:p>
        </w:tc>
      </w:tr>
      <w:tr w:rsidR="00B84239" w:rsidRPr="00B84239" w:rsidTr="00B84239">
        <w:trPr>
          <w:trHeight w:val="300"/>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Funcionamiento</w:t>
            </w:r>
          </w:p>
        </w:tc>
        <w:tc>
          <w:tcPr>
            <w:tcW w:w="1321"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 xml:space="preserve"> $      6.966,3 </w:t>
            </w:r>
          </w:p>
        </w:tc>
        <w:tc>
          <w:tcPr>
            <w:tcW w:w="969"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jc w:val="center"/>
              <w:rPr>
                <w:rFonts w:ascii="Calibri" w:hAnsi="Calibri" w:cs="Calibri"/>
                <w:color w:val="000000"/>
                <w:sz w:val="22"/>
                <w:szCs w:val="22"/>
                <w:lang w:val="es-CO"/>
              </w:rPr>
            </w:pPr>
            <w:r w:rsidRPr="00B84239">
              <w:rPr>
                <w:rFonts w:ascii="Calibri" w:hAnsi="Calibri" w:cs="Calibri"/>
                <w:color w:val="000000"/>
                <w:sz w:val="22"/>
                <w:szCs w:val="22"/>
                <w:lang w:val="es-CO"/>
              </w:rPr>
              <w:t>53,50%</w:t>
            </w:r>
          </w:p>
        </w:tc>
        <w:tc>
          <w:tcPr>
            <w:tcW w:w="1674"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 xml:space="preserve"> $             6.663,4 </w:t>
            </w:r>
          </w:p>
        </w:tc>
        <w:tc>
          <w:tcPr>
            <w:tcW w:w="837"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jc w:val="center"/>
              <w:rPr>
                <w:rFonts w:ascii="Calibri" w:hAnsi="Calibri" w:cs="Calibri"/>
                <w:color w:val="000000"/>
                <w:sz w:val="22"/>
                <w:szCs w:val="22"/>
                <w:lang w:val="es-CO"/>
              </w:rPr>
            </w:pPr>
            <w:r w:rsidRPr="00B84239">
              <w:rPr>
                <w:rFonts w:ascii="Calibri" w:hAnsi="Calibri" w:cs="Calibri"/>
                <w:color w:val="000000"/>
                <w:sz w:val="22"/>
                <w:szCs w:val="22"/>
                <w:lang w:val="es-CO"/>
              </w:rPr>
              <w:t>95,7%</w:t>
            </w:r>
          </w:p>
        </w:tc>
        <w:tc>
          <w:tcPr>
            <w:tcW w:w="1388"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 xml:space="preserve"> $       6.536,8 </w:t>
            </w:r>
          </w:p>
        </w:tc>
        <w:tc>
          <w:tcPr>
            <w:tcW w:w="925"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jc w:val="center"/>
              <w:rPr>
                <w:rFonts w:ascii="Calibri" w:hAnsi="Calibri" w:cs="Calibri"/>
                <w:color w:val="000000"/>
                <w:sz w:val="22"/>
                <w:szCs w:val="22"/>
                <w:lang w:val="es-CO"/>
              </w:rPr>
            </w:pPr>
            <w:r w:rsidRPr="00B84239">
              <w:rPr>
                <w:rFonts w:ascii="Calibri" w:hAnsi="Calibri" w:cs="Calibri"/>
                <w:color w:val="000000"/>
                <w:sz w:val="22"/>
                <w:szCs w:val="22"/>
                <w:lang w:val="es-CO"/>
              </w:rPr>
              <w:t>93,8%</w:t>
            </w:r>
          </w:p>
        </w:tc>
      </w:tr>
      <w:tr w:rsidR="00B84239" w:rsidRPr="00B84239" w:rsidTr="00B84239">
        <w:trPr>
          <w:trHeight w:val="300"/>
        </w:trPr>
        <w:tc>
          <w:tcPr>
            <w:tcW w:w="1982" w:type="dxa"/>
            <w:tcBorders>
              <w:top w:val="nil"/>
              <w:left w:val="single" w:sz="4" w:space="0" w:color="auto"/>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Inversión</w:t>
            </w:r>
          </w:p>
        </w:tc>
        <w:tc>
          <w:tcPr>
            <w:tcW w:w="1321"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 xml:space="preserve"> $      6.054,8 </w:t>
            </w:r>
          </w:p>
        </w:tc>
        <w:tc>
          <w:tcPr>
            <w:tcW w:w="969"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jc w:val="center"/>
              <w:rPr>
                <w:rFonts w:ascii="Calibri" w:hAnsi="Calibri" w:cs="Calibri"/>
                <w:color w:val="000000"/>
                <w:sz w:val="22"/>
                <w:szCs w:val="22"/>
                <w:lang w:val="es-CO"/>
              </w:rPr>
            </w:pPr>
            <w:r w:rsidRPr="00B84239">
              <w:rPr>
                <w:rFonts w:ascii="Calibri" w:hAnsi="Calibri" w:cs="Calibri"/>
                <w:color w:val="000000"/>
                <w:sz w:val="22"/>
                <w:szCs w:val="22"/>
                <w:lang w:val="es-CO"/>
              </w:rPr>
              <w:t>46,50%</w:t>
            </w:r>
          </w:p>
        </w:tc>
        <w:tc>
          <w:tcPr>
            <w:tcW w:w="1674"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 xml:space="preserve"> $             5.972,5 </w:t>
            </w:r>
          </w:p>
        </w:tc>
        <w:tc>
          <w:tcPr>
            <w:tcW w:w="837"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jc w:val="center"/>
              <w:rPr>
                <w:rFonts w:ascii="Calibri" w:hAnsi="Calibri" w:cs="Calibri"/>
                <w:color w:val="000000"/>
                <w:sz w:val="22"/>
                <w:szCs w:val="22"/>
                <w:lang w:val="es-CO"/>
              </w:rPr>
            </w:pPr>
            <w:r w:rsidRPr="00B84239">
              <w:rPr>
                <w:rFonts w:ascii="Calibri" w:hAnsi="Calibri" w:cs="Calibri"/>
                <w:color w:val="000000"/>
                <w:sz w:val="22"/>
                <w:szCs w:val="22"/>
                <w:lang w:val="es-CO"/>
              </w:rPr>
              <w:t>98,6%</w:t>
            </w:r>
          </w:p>
        </w:tc>
        <w:tc>
          <w:tcPr>
            <w:tcW w:w="1388"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rPr>
                <w:rFonts w:ascii="Calibri" w:hAnsi="Calibri" w:cs="Calibri"/>
                <w:color w:val="000000"/>
                <w:sz w:val="22"/>
                <w:szCs w:val="22"/>
                <w:lang w:val="es-CO"/>
              </w:rPr>
            </w:pPr>
            <w:r w:rsidRPr="00B84239">
              <w:rPr>
                <w:rFonts w:ascii="Calibri" w:hAnsi="Calibri" w:cs="Calibri"/>
                <w:color w:val="000000"/>
                <w:sz w:val="22"/>
                <w:szCs w:val="22"/>
                <w:lang w:val="es-CO"/>
              </w:rPr>
              <w:t xml:space="preserve"> $       5.295,8 </w:t>
            </w:r>
          </w:p>
        </w:tc>
        <w:tc>
          <w:tcPr>
            <w:tcW w:w="925" w:type="dxa"/>
            <w:tcBorders>
              <w:top w:val="nil"/>
              <w:left w:val="nil"/>
              <w:bottom w:val="single" w:sz="4" w:space="0" w:color="auto"/>
              <w:right w:val="single" w:sz="4" w:space="0" w:color="auto"/>
            </w:tcBorders>
            <w:shd w:val="clear" w:color="auto" w:fill="auto"/>
            <w:noWrap/>
            <w:vAlign w:val="bottom"/>
            <w:hideMark/>
          </w:tcPr>
          <w:p w:rsidR="00B84239" w:rsidRPr="00B84239" w:rsidRDefault="00B84239" w:rsidP="00B84239">
            <w:pPr>
              <w:overflowPunct/>
              <w:autoSpaceDE/>
              <w:autoSpaceDN/>
              <w:adjustRightInd/>
              <w:jc w:val="center"/>
              <w:rPr>
                <w:rFonts w:ascii="Calibri" w:hAnsi="Calibri" w:cs="Calibri"/>
                <w:color w:val="000000"/>
                <w:sz w:val="22"/>
                <w:szCs w:val="22"/>
                <w:lang w:val="es-CO"/>
              </w:rPr>
            </w:pPr>
            <w:r w:rsidRPr="00B84239">
              <w:rPr>
                <w:rFonts w:ascii="Calibri" w:hAnsi="Calibri" w:cs="Calibri"/>
                <w:color w:val="000000"/>
                <w:sz w:val="22"/>
                <w:szCs w:val="22"/>
                <w:lang w:val="es-CO"/>
              </w:rPr>
              <w:t>87,5%</w:t>
            </w:r>
          </w:p>
        </w:tc>
      </w:tr>
      <w:tr w:rsidR="00B84239" w:rsidRPr="00B84239" w:rsidTr="00B84239">
        <w:trPr>
          <w:trHeight w:val="300"/>
        </w:trPr>
        <w:tc>
          <w:tcPr>
            <w:tcW w:w="1982" w:type="dxa"/>
            <w:tcBorders>
              <w:top w:val="nil"/>
              <w:left w:val="single" w:sz="4" w:space="0" w:color="auto"/>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rPr>
                <w:rFonts w:ascii="Calibri" w:hAnsi="Calibri" w:cs="Calibri"/>
                <w:b/>
                <w:bCs/>
                <w:color w:val="000000"/>
                <w:sz w:val="22"/>
                <w:szCs w:val="22"/>
                <w:lang w:val="es-CO"/>
              </w:rPr>
            </w:pPr>
            <w:r w:rsidRPr="00B84239">
              <w:rPr>
                <w:rFonts w:ascii="Calibri" w:hAnsi="Calibri" w:cs="Calibri"/>
                <w:b/>
                <w:bCs/>
                <w:color w:val="000000"/>
                <w:sz w:val="22"/>
                <w:szCs w:val="22"/>
                <w:lang w:val="es-CO"/>
              </w:rPr>
              <w:t>Total Presupuesto</w:t>
            </w:r>
          </w:p>
        </w:tc>
        <w:tc>
          <w:tcPr>
            <w:tcW w:w="1321" w:type="dxa"/>
            <w:tcBorders>
              <w:top w:val="nil"/>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rPr>
                <w:rFonts w:ascii="Calibri" w:hAnsi="Calibri" w:cs="Calibri"/>
                <w:b/>
                <w:bCs/>
                <w:color w:val="000000"/>
                <w:sz w:val="22"/>
                <w:szCs w:val="22"/>
                <w:lang w:val="es-CO"/>
              </w:rPr>
            </w:pPr>
            <w:r w:rsidRPr="00B84239">
              <w:rPr>
                <w:rFonts w:ascii="Calibri" w:hAnsi="Calibri" w:cs="Calibri"/>
                <w:b/>
                <w:bCs/>
                <w:color w:val="000000"/>
                <w:sz w:val="22"/>
                <w:szCs w:val="22"/>
                <w:lang w:val="es-CO"/>
              </w:rPr>
              <w:t xml:space="preserve"> $    13.021,1 </w:t>
            </w:r>
          </w:p>
        </w:tc>
        <w:tc>
          <w:tcPr>
            <w:tcW w:w="969" w:type="dxa"/>
            <w:tcBorders>
              <w:top w:val="nil"/>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100,0%</w:t>
            </w:r>
          </w:p>
        </w:tc>
        <w:tc>
          <w:tcPr>
            <w:tcW w:w="1674" w:type="dxa"/>
            <w:tcBorders>
              <w:top w:val="nil"/>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rPr>
                <w:rFonts w:ascii="Calibri" w:hAnsi="Calibri" w:cs="Calibri"/>
                <w:b/>
                <w:bCs/>
                <w:color w:val="000000"/>
                <w:sz w:val="22"/>
                <w:szCs w:val="22"/>
                <w:lang w:val="es-CO"/>
              </w:rPr>
            </w:pPr>
            <w:r w:rsidRPr="00B84239">
              <w:rPr>
                <w:rFonts w:ascii="Calibri" w:hAnsi="Calibri" w:cs="Calibri"/>
                <w:b/>
                <w:bCs/>
                <w:color w:val="000000"/>
                <w:sz w:val="22"/>
                <w:szCs w:val="22"/>
                <w:lang w:val="es-CO"/>
              </w:rPr>
              <w:t xml:space="preserve"> $        12.635,87 </w:t>
            </w:r>
          </w:p>
        </w:tc>
        <w:tc>
          <w:tcPr>
            <w:tcW w:w="837" w:type="dxa"/>
            <w:tcBorders>
              <w:top w:val="nil"/>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97,0%</w:t>
            </w:r>
          </w:p>
        </w:tc>
        <w:tc>
          <w:tcPr>
            <w:tcW w:w="1388" w:type="dxa"/>
            <w:tcBorders>
              <w:top w:val="nil"/>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rPr>
                <w:rFonts w:ascii="Calibri" w:hAnsi="Calibri" w:cs="Calibri"/>
                <w:b/>
                <w:bCs/>
                <w:color w:val="000000"/>
                <w:sz w:val="22"/>
                <w:szCs w:val="22"/>
                <w:lang w:val="es-CO"/>
              </w:rPr>
            </w:pPr>
            <w:r w:rsidRPr="00B84239">
              <w:rPr>
                <w:rFonts w:ascii="Calibri" w:hAnsi="Calibri" w:cs="Calibri"/>
                <w:b/>
                <w:bCs/>
                <w:color w:val="000000"/>
                <w:sz w:val="22"/>
                <w:szCs w:val="22"/>
                <w:lang w:val="es-CO"/>
              </w:rPr>
              <w:t xml:space="preserve"> $     11.832,6 </w:t>
            </w:r>
          </w:p>
        </w:tc>
        <w:tc>
          <w:tcPr>
            <w:tcW w:w="925" w:type="dxa"/>
            <w:tcBorders>
              <w:top w:val="nil"/>
              <w:left w:val="nil"/>
              <w:bottom w:val="single" w:sz="4" w:space="0" w:color="auto"/>
              <w:right w:val="single" w:sz="4" w:space="0" w:color="auto"/>
            </w:tcBorders>
            <w:shd w:val="clear" w:color="000000" w:fill="D9D9D9"/>
            <w:noWrap/>
            <w:vAlign w:val="bottom"/>
            <w:hideMark/>
          </w:tcPr>
          <w:p w:rsidR="00B84239" w:rsidRPr="00B84239" w:rsidRDefault="00B84239" w:rsidP="00B84239">
            <w:pPr>
              <w:overflowPunct/>
              <w:autoSpaceDE/>
              <w:autoSpaceDN/>
              <w:adjustRightInd/>
              <w:jc w:val="center"/>
              <w:rPr>
                <w:rFonts w:ascii="Calibri" w:hAnsi="Calibri" w:cs="Calibri"/>
                <w:b/>
                <w:bCs/>
                <w:color w:val="000000"/>
                <w:sz w:val="22"/>
                <w:szCs w:val="22"/>
                <w:lang w:val="es-CO"/>
              </w:rPr>
            </w:pPr>
            <w:r w:rsidRPr="00B84239">
              <w:rPr>
                <w:rFonts w:ascii="Calibri" w:hAnsi="Calibri" w:cs="Calibri"/>
                <w:b/>
                <w:bCs/>
                <w:color w:val="000000"/>
                <w:sz w:val="22"/>
                <w:szCs w:val="22"/>
                <w:lang w:val="es-CO"/>
              </w:rPr>
              <w:t>90,9%</w:t>
            </w:r>
          </w:p>
        </w:tc>
      </w:tr>
    </w:tbl>
    <w:p w:rsidR="008B73EA" w:rsidRDefault="006F3668">
      <w:pPr>
        <w:jc w:val="center"/>
        <w:rPr>
          <w:rFonts w:ascii="Arial" w:eastAsia="Arial" w:hAnsi="Arial" w:cs="Arial"/>
          <w:sz w:val="16"/>
          <w:szCs w:val="16"/>
        </w:rPr>
      </w:pPr>
      <w:r>
        <w:rPr>
          <w:rFonts w:ascii="Arial" w:eastAsia="Arial" w:hAnsi="Arial" w:cs="Arial"/>
          <w:sz w:val="16"/>
          <w:szCs w:val="16"/>
        </w:rPr>
        <w:t>Fuente: Elaboración propia IDEP</w:t>
      </w:r>
    </w:p>
    <w:p w:rsidR="008B73EA" w:rsidRDefault="008B73EA">
      <w:pPr>
        <w:jc w:val="both"/>
        <w:rPr>
          <w:rFonts w:ascii="Arial" w:eastAsia="Arial" w:hAnsi="Arial" w:cs="Arial"/>
        </w:rPr>
      </w:pPr>
    </w:p>
    <w:p w:rsidR="00A4767E" w:rsidRDefault="00A4767E">
      <w:pPr>
        <w:jc w:val="both"/>
        <w:rPr>
          <w:rFonts w:ascii="Arial" w:eastAsia="Arial" w:hAnsi="Arial" w:cs="Arial"/>
        </w:rPr>
      </w:pPr>
      <w:r>
        <w:rPr>
          <w:rFonts w:ascii="Arial" w:eastAsia="Arial" w:hAnsi="Arial" w:cs="Arial"/>
        </w:rPr>
        <w:t>Del presupuesto total aprobado se ejecutaron a través de compromisos recursos por valor de $12.635,8 millones equivalente al 97%,</w:t>
      </w:r>
      <w:r w:rsidR="00B31523">
        <w:rPr>
          <w:rFonts w:ascii="Arial" w:eastAsia="Arial" w:hAnsi="Arial" w:cs="Arial"/>
        </w:rPr>
        <w:t xml:space="preserve"> De este total,</w:t>
      </w:r>
      <w:r>
        <w:rPr>
          <w:rFonts w:ascii="Arial" w:eastAsia="Arial" w:hAnsi="Arial" w:cs="Arial"/>
        </w:rPr>
        <w:t xml:space="preserve"> en funcionamiento los compromisos ascendieron a </w:t>
      </w:r>
      <w:r w:rsidR="00261742">
        <w:rPr>
          <w:rFonts w:ascii="Arial" w:eastAsia="Arial" w:hAnsi="Arial" w:cs="Arial"/>
        </w:rPr>
        <w:t xml:space="preserve">la suma de </w:t>
      </w:r>
      <w:r>
        <w:rPr>
          <w:rFonts w:ascii="Arial" w:eastAsia="Arial" w:hAnsi="Arial" w:cs="Arial"/>
        </w:rPr>
        <w:t>$6.663,4 millones equivalentes al 95,</w:t>
      </w:r>
      <w:r w:rsidR="00261742">
        <w:rPr>
          <w:rFonts w:ascii="Arial" w:eastAsia="Arial" w:hAnsi="Arial" w:cs="Arial"/>
        </w:rPr>
        <w:t>7</w:t>
      </w:r>
      <w:r>
        <w:rPr>
          <w:rFonts w:ascii="Arial" w:eastAsia="Arial" w:hAnsi="Arial" w:cs="Arial"/>
        </w:rPr>
        <w:t>% del presupuesto aprobado</w:t>
      </w:r>
      <w:r w:rsidR="00261742">
        <w:rPr>
          <w:rFonts w:ascii="Arial" w:eastAsia="Arial" w:hAnsi="Arial" w:cs="Arial"/>
        </w:rPr>
        <w:t>.</w:t>
      </w:r>
      <w:r>
        <w:rPr>
          <w:rFonts w:ascii="Arial" w:eastAsia="Arial" w:hAnsi="Arial" w:cs="Arial"/>
        </w:rPr>
        <w:t xml:space="preserve"> En lo </w:t>
      </w:r>
      <w:r w:rsidR="00BA0530">
        <w:rPr>
          <w:rFonts w:ascii="Arial" w:eastAsia="Arial" w:hAnsi="Arial" w:cs="Arial"/>
        </w:rPr>
        <w:t xml:space="preserve">relacionado con </w:t>
      </w:r>
      <w:r>
        <w:rPr>
          <w:rFonts w:ascii="Arial" w:eastAsia="Arial" w:hAnsi="Arial" w:cs="Arial"/>
        </w:rPr>
        <w:t xml:space="preserve">Inversión, se comprometieron recursos por valor de $5.972,4 millones equivalente al </w:t>
      </w:r>
      <w:r w:rsidR="00BA0530">
        <w:rPr>
          <w:rFonts w:ascii="Arial" w:eastAsia="Arial" w:hAnsi="Arial" w:cs="Arial"/>
        </w:rPr>
        <w:t>98.6% de lo aprobado.</w:t>
      </w:r>
    </w:p>
    <w:p w:rsidR="00BA0530" w:rsidRDefault="00BA0530">
      <w:pPr>
        <w:jc w:val="both"/>
        <w:rPr>
          <w:rFonts w:ascii="Arial" w:eastAsia="Arial" w:hAnsi="Arial" w:cs="Arial"/>
        </w:rPr>
      </w:pPr>
    </w:p>
    <w:p w:rsidR="008B73EA" w:rsidRDefault="00261742">
      <w:pPr>
        <w:jc w:val="both"/>
        <w:rPr>
          <w:rFonts w:ascii="Arial" w:eastAsia="Arial" w:hAnsi="Arial" w:cs="Arial"/>
        </w:rPr>
      </w:pPr>
      <w:r>
        <w:rPr>
          <w:rFonts w:ascii="Arial" w:eastAsia="Arial" w:hAnsi="Arial" w:cs="Arial"/>
        </w:rPr>
        <w:t>Los giros</w:t>
      </w:r>
      <w:r w:rsidR="00E97AFA">
        <w:rPr>
          <w:rFonts w:ascii="Arial" w:eastAsia="Arial" w:hAnsi="Arial" w:cs="Arial"/>
        </w:rPr>
        <w:t xml:space="preserve"> de </w:t>
      </w:r>
      <w:r>
        <w:rPr>
          <w:rFonts w:ascii="Arial" w:eastAsia="Arial" w:hAnsi="Arial" w:cs="Arial"/>
        </w:rPr>
        <w:t>estos</w:t>
      </w:r>
      <w:r w:rsidR="00E97AFA">
        <w:rPr>
          <w:rFonts w:ascii="Arial" w:eastAsia="Arial" w:hAnsi="Arial" w:cs="Arial"/>
        </w:rPr>
        <w:t xml:space="preserve"> compromisos adquiridos </w:t>
      </w:r>
      <w:r w:rsidR="00BA0530">
        <w:rPr>
          <w:rFonts w:ascii="Arial" w:eastAsia="Arial" w:hAnsi="Arial" w:cs="Arial"/>
        </w:rPr>
        <w:t>por la entidad,</w:t>
      </w:r>
      <w:r w:rsidR="00E97AFA">
        <w:rPr>
          <w:rFonts w:ascii="Arial" w:eastAsia="Arial" w:hAnsi="Arial" w:cs="Arial"/>
        </w:rPr>
        <w:t xml:space="preserve"> correspondieron a</w:t>
      </w:r>
      <w:r w:rsidR="00BA0530">
        <w:rPr>
          <w:rFonts w:ascii="Arial" w:eastAsia="Arial" w:hAnsi="Arial" w:cs="Arial"/>
        </w:rPr>
        <w:t xml:space="preserve"> $11.</w:t>
      </w:r>
      <w:r w:rsidR="00B84239">
        <w:rPr>
          <w:rFonts w:ascii="Arial" w:eastAsia="Arial" w:hAnsi="Arial" w:cs="Arial"/>
        </w:rPr>
        <w:t>832</w:t>
      </w:r>
      <w:r w:rsidR="00BA0530">
        <w:rPr>
          <w:rFonts w:ascii="Arial" w:eastAsia="Arial" w:hAnsi="Arial" w:cs="Arial"/>
        </w:rPr>
        <w:t>,</w:t>
      </w:r>
      <w:r w:rsidR="00B84239">
        <w:rPr>
          <w:rFonts w:ascii="Arial" w:eastAsia="Arial" w:hAnsi="Arial" w:cs="Arial"/>
        </w:rPr>
        <w:t>6</w:t>
      </w:r>
      <w:r w:rsidR="00BA0530">
        <w:rPr>
          <w:rFonts w:ascii="Arial" w:eastAsia="Arial" w:hAnsi="Arial" w:cs="Arial"/>
        </w:rPr>
        <w:t xml:space="preserve"> millones</w:t>
      </w:r>
      <w:r w:rsidR="00E97AFA">
        <w:rPr>
          <w:rFonts w:ascii="Arial" w:eastAsia="Arial" w:hAnsi="Arial" w:cs="Arial"/>
          <w:lang w:val="es-CO"/>
        </w:rPr>
        <w:t xml:space="preserve"> equivalente al </w:t>
      </w:r>
      <w:r w:rsidR="00B84239">
        <w:rPr>
          <w:rFonts w:ascii="Arial" w:eastAsia="Arial" w:hAnsi="Arial" w:cs="Arial"/>
          <w:lang w:val="es-CO"/>
        </w:rPr>
        <w:t>90</w:t>
      </w:r>
      <w:r w:rsidR="00E97AFA">
        <w:rPr>
          <w:rFonts w:ascii="Arial" w:eastAsia="Arial" w:hAnsi="Arial" w:cs="Arial"/>
          <w:lang w:val="es-CO"/>
        </w:rPr>
        <w:t>.</w:t>
      </w:r>
      <w:r>
        <w:rPr>
          <w:rFonts w:ascii="Arial" w:eastAsia="Arial" w:hAnsi="Arial" w:cs="Arial"/>
          <w:lang w:val="es-CO"/>
        </w:rPr>
        <w:t>9</w:t>
      </w:r>
      <w:r w:rsidR="00E97AFA">
        <w:rPr>
          <w:rFonts w:ascii="Arial" w:eastAsia="Arial" w:hAnsi="Arial" w:cs="Arial"/>
          <w:lang w:val="es-CO"/>
        </w:rPr>
        <w:t>%. De este total, $6.</w:t>
      </w:r>
      <w:r w:rsidR="00B84239">
        <w:rPr>
          <w:rFonts w:ascii="Arial" w:eastAsia="Arial" w:hAnsi="Arial" w:cs="Arial"/>
          <w:lang w:val="es-CO"/>
        </w:rPr>
        <w:t>536</w:t>
      </w:r>
      <w:r w:rsidR="00E97AFA">
        <w:rPr>
          <w:rFonts w:ascii="Arial" w:eastAsia="Arial" w:hAnsi="Arial" w:cs="Arial"/>
          <w:lang w:val="es-CO"/>
        </w:rPr>
        <w:t>,</w:t>
      </w:r>
      <w:r w:rsidR="00B84239">
        <w:rPr>
          <w:rFonts w:ascii="Arial" w:eastAsia="Arial" w:hAnsi="Arial" w:cs="Arial"/>
          <w:lang w:val="es-CO"/>
        </w:rPr>
        <w:t>8</w:t>
      </w:r>
      <w:r w:rsidR="00E97AFA">
        <w:rPr>
          <w:rFonts w:ascii="Arial" w:eastAsia="Arial" w:hAnsi="Arial" w:cs="Arial"/>
          <w:lang w:val="es-CO"/>
        </w:rPr>
        <w:t xml:space="preserve"> millones correspondieron a giros en funcionamiento y equivalen al </w:t>
      </w:r>
      <w:r w:rsidR="00B84239">
        <w:rPr>
          <w:rFonts w:ascii="Arial" w:eastAsia="Arial" w:hAnsi="Arial" w:cs="Arial"/>
          <w:lang w:val="es-CO"/>
        </w:rPr>
        <w:t>93</w:t>
      </w:r>
      <w:r>
        <w:rPr>
          <w:rFonts w:ascii="Arial" w:eastAsia="Arial" w:hAnsi="Arial" w:cs="Arial"/>
          <w:lang w:val="es-CO"/>
        </w:rPr>
        <w:t>,</w:t>
      </w:r>
      <w:r w:rsidR="00B84239">
        <w:rPr>
          <w:rFonts w:ascii="Arial" w:eastAsia="Arial" w:hAnsi="Arial" w:cs="Arial"/>
          <w:lang w:val="es-CO"/>
        </w:rPr>
        <w:t>8</w:t>
      </w:r>
      <w:r>
        <w:rPr>
          <w:rFonts w:ascii="Arial" w:eastAsia="Arial" w:hAnsi="Arial" w:cs="Arial"/>
          <w:lang w:val="es-CO"/>
        </w:rPr>
        <w:t>% del presupuesto aprobado</w:t>
      </w:r>
      <w:r w:rsidR="00E97AFA">
        <w:rPr>
          <w:rFonts w:ascii="Arial" w:eastAsia="Arial" w:hAnsi="Arial" w:cs="Arial"/>
          <w:lang w:val="es-CO"/>
        </w:rPr>
        <w:t>. En lo que respecta a inversión se giraron recursos por valor de $5.2</w:t>
      </w:r>
      <w:r w:rsidR="00B84239">
        <w:rPr>
          <w:rFonts w:ascii="Arial" w:eastAsia="Arial" w:hAnsi="Arial" w:cs="Arial"/>
          <w:lang w:val="es-CO"/>
        </w:rPr>
        <w:t>95</w:t>
      </w:r>
      <w:r w:rsidR="00E97AFA">
        <w:rPr>
          <w:rFonts w:ascii="Arial" w:eastAsia="Arial" w:hAnsi="Arial" w:cs="Arial"/>
          <w:lang w:val="es-CO"/>
        </w:rPr>
        <w:t>,</w:t>
      </w:r>
      <w:r w:rsidR="00B84239">
        <w:rPr>
          <w:rFonts w:ascii="Arial" w:eastAsia="Arial" w:hAnsi="Arial" w:cs="Arial"/>
          <w:lang w:val="es-CO"/>
        </w:rPr>
        <w:t>8</w:t>
      </w:r>
      <w:r w:rsidR="00E97AFA">
        <w:rPr>
          <w:rFonts w:ascii="Arial" w:eastAsia="Arial" w:hAnsi="Arial" w:cs="Arial"/>
          <w:lang w:val="es-CO"/>
        </w:rPr>
        <w:t xml:space="preserve"> millones que equivalen al 8</w:t>
      </w:r>
      <w:r w:rsidR="00B84239">
        <w:rPr>
          <w:rFonts w:ascii="Arial" w:eastAsia="Arial" w:hAnsi="Arial" w:cs="Arial"/>
          <w:lang w:val="es-CO"/>
        </w:rPr>
        <w:t>7</w:t>
      </w:r>
      <w:r w:rsidR="00E97AFA">
        <w:rPr>
          <w:rFonts w:ascii="Arial" w:eastAsia="Arial" w:hAnsi="Arial" w:cs="Arial"/>
          <w:lang w:val="es-CO"/>
        </w:rPr>
        <w:t>.</w:t>
      </w:r>
      <w:r w:rsidR="00B84239">
        <w:rPr>
          <w:rFonts w:ascii="Arial" w:eastAsia="Arial" w:hAnsi="Arial" w:cs="Arial"/>
          <w:lang w:val="es-CO"/>
        </w:rPr>
        <w:t>5</w:t>
      </w:r>
      <w:r w:rsidR="00E97AFA">
        <w:rPr>
          <w:rFonts w:ascii="Arial" w:eastAsia="Arial" w:hAnsi="Arial" w:cs="Arial"/>
          <w:lang w:val="es-CO"/>
        </w:rPr>
        <w:t>% de</w:t>
      </w:r>
      <w:r w:rsidR="00B31523">
        <w:rPr>
          <w:rFonts w:ascii="Arial" w:eastAsia="Arial" w:hAnsi="Arial" w:cs="Arial"/>
          <w:lang w:val="es-CO"/>
        </w:rPr>
        <w:t xml:space="preserve">l </w:t>
      </w:r>
      <w:r>
        <w:rPr>
          <w:rFonts w:ascii="Arial" w:eastAsia="Arial" w:hAnsi="Arial" w:cs="Arial"/>
          <w:lang w:val="es-CO"/>
        </w:rPr>
        <w:t>presupuesto asignado a la entidad|</w:t>
      </w:r>
      <w:r w:rsidR="00E97AFA">
        <w:rPr>
          <w:rFonts w:ascii="Arial" w:eastAsia="Arial" w:hAnsi="Arial" w:cs="Arial"/>
          <w:lang w:val="es-CO"/>
        </w:rPr>
        <w:t xml:space="preserve">. </w:t>
      </w:r>
      <w:r w:rsidR="006F3668">
        <w:rPr>
          <w:rFonts w:ascii="Arial" w:eastAsia="Arial" w:hAnsi="Arial" w:cs="Arial"/>
        </w:rPr>
        <w:t xml:space="preserve">Para consultar el presupuesto y su ejecución histórica: </w:t>
      </w:r>
      <w:hyperlink r:id="rId8">
        <w:r w:rsidR="006F3668">
          <w:rPr>
            <w:rFonts w:ascii="Arial" w:eastAsia="Arial" w:hAnsi="Arial" w:cs="Arial"/>
            <w:color w:val="1155CC"/>
            <w:u w:val="single"/>
          </w:rPr>
          <w:t>http://www.idep.edu.co/?q=node/38</w:t>
        </w:r>
      </w:hyperlink>
      <w:r w:rsidR="006F3668">
        <w:rPr>
          <w:rFonts w:ascii="Arial" w:eastAsia="Arial" w:hAnsi="Arial" w:cs="Arial"/>
        </w:rPr>
        <w:t xml:space="preserve"> </w:t>
      </w:r>
    </w:p>
    <w:p w:rsidR="008B73EA" w:rsidRDefault="008B73EA">
      <w:pPr>
        <w:jc w:val="both"/>
        <w:rPr>
          <w:rFonts w:ascii="Arial" w:eastAsia="Arial" w:hAnsi="Arial" w:cs="Arial"/>
        </w:rPr>
      </w:pPr>
    </w:p>
    <w:p w:rsidR="008B73EA" w:rsidRDefault="006F3668">
      <w:pPr>
        <w:jc w:val="both"/>
        <w:rPr>
          <w:rFonts w:ascii="Arial" w:eastAsia="Arial" w:hAnsi="Arial" w:cs="Arial"/>
          <w:b/>
        </w:rPr>
      </w:pPr>
      <w:r>
        <w:rPr>
          <w:rFonts w:ascii="Arial" w:eastAsia="Arial" w:hAnsi="Arial" w:cs="Arial"/>
          <w:b/>
        </w:rPr>
        <w:t>Estados Financieros</w:t>
      </w:r>
    </w:p>
    <w:p w:rsidR="007C5C96" w:rsidRDefault="007C5C96">
      <w:pPr>
        <w:jc w:val="both"/>
        <w:rPr>
          <w:rFonts w:ascii="Arial" w:eastAsia="Arial" w:hAnsi="Arial" w:cs="Arial"/>
        </w:rPr>
      </w:pPr>
    </w:p>
    <w:p w:rsidR="00B84239" w:rsidRDefault="00B84239" w:rsidP="00B84239">
      <w:pPr>
        <w:jc w:val="both"/>
        <w:rPr>
          <w:rFonts w:ascii="Arial" w:hAnsi="Arial" w:cs="Arial"/>
          <w:color w:val="000000"/>
        </w:rPr>
      </w:pPr>
      <w:r>
        <w:rPr>
          <w:rFonts w:ascii="Arial" w:hAnsi="Arial" w:cs="Arial"/>
          <w:color w:val="000000"/>
        </w:rPr>
        <w:t xml:space="preserve">El IDEP ha venido aplicando los lineamientos contables para entidades de gobierno, en cumplimiento con la Resolución 533 de 2015 de la Contaduría General de la Nación, y aplicación del Manual de Políticas Contables, que se puede consultar en: </w:t>
      </w:r>
      <w:r w:rsidRPr="003C333B">
        <w:rPr>
          <w:rFonts w:ascii="Arial" w:hAnsi="Arial" w:cs="Arial"/>
          <w:color w:val="000000"/>
        </w:rPr>
        <w:t>http://www.idep.edu.co/sites/default/files/MN-GF-14-01%20MANUAL%20DE%20POLITICAS%20IDEP%20V4.pdf</w:t>
      </w:r>
    </w:p>
    <w:p w:rsidR="00B84239" w:rsidRPr="003C333B" w:rsidRDefault="00B84239" w:rsidP="00B84239">
      <w:pPr>
        <w:jc w:val="center"/>
        <w:rPr>
          <w:sz w:val="24"/>
          <w:szCs w:val="24"/>
        </w:rPr>
      </w:pPr>
      <w:r w:rsidRPr="008063AF">
        <w:rPr>
          <w:noProof/>
          <w:lang w:val="es-CO"/>
        </w:rPr>
        <w:drawing>
          <wp:inline distT="0" distB="0" distL="0" distR="0" wp14:anchorId="1788378A" wp14:editId="5FC76A8B">
            <wp:extent cx="5850890" cy="16095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0890" cy="1609502"/>
                    </a:xfrm>
                    <a:prstGeom prst="rect">
                      <a:avLst/>
                    </a:prstGeom>
                    <a:noFill/>
                    <a:ln>
                      <a:noFill/>
                    </a:ln>
                  </pic:spPr>
                </pic:pic>
              </a:graphicData>
            </a:graphic>
          </wp:inline>
        </w:drawing>
      </w:r>
    </w:p>
    <w:p w:rsidR="00B84239" w:rsidRPr="003C333B" w:rsidRDefault="00B84239" w:rsidP="00B84239">
      <w:pPr>
        <w:jc w:val="both"/>
        <w:rPr>
          <w:sz w:val="24"/>
          <w:szCs w:val="24"/>
        </w:rPr>
      </w:pPr>
      <w:r>
        <w:rPr>
          <w:rFonts w:ascii="Arial" w:hAnsi="Arial" w:cs="Arial"/>
          <w:color w:val="000000"/>
        </w:rPr>
        <w:t>De igual manera, se ha dado cumplimiento al reporte oportuno de la información a la Contaduría General de la Nación y Dirección Distrital de Contabilidad, en cumplimiento a la Resolución 706 de 2016 de dicho ente rector contable en Colombia</w:t>
      </w:r>
      <w:r w:rsidRPr="003C333B">
        <w:rPr>
          <w:rFonts w:ascii="Arial" w:hAnsi="Arial" w:cs="Arial"/>
          <w:color w:val="000000"/>
        </w:rPr>
        <w:t xml:space="preserve">. </w:t>
      </w:r>
    </w:p>
    <w:p w:rsidR="00B84239" w:rsidRDefault="00B84239" w:rsidP="00B84239"/>
    <w:p w:rsidR="00307B51" w:rsidRDefault="00307B51" w:rsidP="00B84239"/>
    <w:p w:rsidR="00307B51" w:rsidRDefault="00307B51" w:rsidP="00B84239"/>
    <w:p w:rsidR="00307B51" w:rsidRDefault="00307B51" w:rsidP="00B84239"/>
    <w:p w:rsidR="008B73EA" w:rsidRDefault="006F3668" w:rsidP="00271FAA">
      <w:pPr>
        <w:jc w:val="both"/>
        <w:rPr>
          <w:rFonts w:ascii="Arial" w:eastAsia="Arial" w:hAnsi="Arial" w:cs="Arial"/>
          <w:b/>
        </w:rPr>
      </w:pPr>
      <w:r>
        <w:rPr>
          <w:rFonts w:ascii="Arial" w:eastAsia="Arial" w:hAnsi="Arial" w:cs="Arial"/>
          <w:b/>
        </w:rPr>
        <w:lastRenderedPageBreak/>
        <w:t>Talento Humano</w:t>
      </w:r>
    </w:p>
    <w:p w:rsidR="008B73EA" w:rsidRDefault="006F3668" w:rsidP="00271FAA">
      <w:pPr>
        <w:jc w:val="both"/>
        <w:rPr>
          <w:rFonts w:ascii="Arial" w:eastAsia="Arial" w:hAnsi="Arial" w:cs="Arial"/>
          <w:b/>
        </w:rPr>
      </w:pPr>
      <w:r>
        <w:rPr>
          <w:rFonts w:ascii="Arial" w:eastAsia="Arial" w:hAnsi="Arial" w:cs="Arial"/>
        </w:rPr>
        <w:t>La Resolución 009 de 2022 del Consejo Directivo del IDEP, estableció una planta de personal compuesta por treinta y ocho (38) empleos públicos de régimen general los cuales se encuentran distribuidos de la siguiente manera</w:t>
      </w:r>
      <w:r>
        <w:rPr>
          <w:rFonts w:ascii="Arial" w:eastAsia="Arial" w:hAnsi="Arial" w:cs="Arial"/>
          <w:b/>
        </w:rPr>
        <w:t>:</w:t>
      </w:r>
    </w:p>
    <w:p w:rsidR="008B73EA" w:rsidRDefault="006F3668">
      <w:pPr>
        <w:jc w:val="both"/>
        <w:rPr>
          <w:rFonts w:ascii="Arial" w:eastAsia="Arial" w:hAnsi="Arial" w:cs="Arial"/>
          <w:b/>
        </w:rPr>
      </w:pPr>
      <w:r>
        <w:rPr>
          <w:rFonts w:ascii="Arial" w:eastAsia="Arial" w:hAnsi="Arial" w:cs="Arial"/>
          <w:b/>
          <w:noProof/>
          <w:lang w:val="es-CO"/>
        </w:rPr>
        <w:drawing>
          <wp:inline distT="114300" distB="114300" distL="114300" distR="114300">
            <wp:extent cx="5612130" cy="2247900"/>
            <wp:effectExtent l="0" t="0" r="0" b="0"/>
            <wp:docPr id="3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12130" cy="2247900"/>
                    </a:xfrm>
                    <a:prstGeom prst="rect">
                      <a:avLst/>
                    </a:prstGeom>
                    <a:ln/>
                  </pic:spPr>
                </pic:pic>
              </a:graphicData>
            </a:graphic>
          </wp:inline>
        </w:drawing>
      </w:r>
    </w:p>
    <w:p w:rsidR="008B73EA" w:rsidRDefault="006F3668">
      <w:pPr>
        <w:numPr>
          <w:ilvl w:val="0"/>
          <w:numId w:val="1"/>
        </w:numPr>
        <w:jc w:val="both"/>
        <w:rPr>
          <w:rFonts w:ascii="Arial" w:eastAsia="Arial" w:hAnsi="Arial" w:cs="Arial"/>
        </w:rPr>
      </w:pPr>
      <w:r>
        <w:rPr>
          <w:rFonts w:ascii="Arial" w:eastAsia="Arial" w:hAnsi="Arial" w:cs="Arial"/>
        </w:rPr>
        <w:t>El IDEP ha participado en las convocatorias para la provisión de empleos públicos que lidera la Comisión Nacional del Servicio Civil y promueve la carrera administrativa como mecanismo para el acceso y el ascenso en las entidades públicas.</w:t>
      </w:r>
    </w:p>
    <w:p w:rsidR="008B73EA" w:rsidRDefault="008B73EA">
      <w:pPr>
        <w:ind w:left="720"/>
        <w:jc w:val="both"/>
        <w:rPr>
          <w:rFonts w:ascii="Arial" w:eastAsia="Arial" w:hAnsi="Arial" w:cs="Arial"/>
        </w:rPr>
      </w:pPr>
    </w:p>
    <w:p w:rsidR="008B73EA" w:rsidRDefault="006F3668">
      <w:pPr>
        <w:numPr>
          <w:ilvl w:val="0"/>
          <w:numId w:val="1"/>
        </w:numPr>
        <w:jc w:val="both"/>
        <w:rPr>
          <w:rFonts w:ascii="Arial" w:eastAsia="Arial" w:hAnsi="Arial" w:cs="Arial"/>
        </w:rPr>
      </w:pPr>
      <w:r>
        <w:rPr>
          <w:rFonts w:ascii="Arial" w:eastAsia="Arial" w:hAnsi="Arial" w:cs="Arial"/>
        </w:rPr>
        <w:t xml:space="preserve">Los nombramientos ordinarios se realizan verificando el cumplimiento de los requisitos legales y </w:t>
      </w:r>
      <w:proofErr w:type="spellStart"/>
      <w:r>
        <w:rPr>
          <w:rFonts w:ascii="Arial" w:eastAsia="Arial" w:hAnsi="Arial" w:cs="Arial"/>
        </w:rPr>
        <w:t>reglamentarios</w:t>
      </w:r>
      <w:proofErr w:type="gramStart"/>
      <w:r>
        <w:rPr>
          <w:rFonts w:ascii="Arial" w:eastAsia="Arial" w:hAnsi="Arial" w:cs="Arial"/>
        </w:rPr>
        <w:t>,después</w:t>
      </w:r>
      <w:proofErr w:type="spellEnd"/>
      <w:proofErr w:type="gramEnd"/>
      <w:r>
        <w:rPr>
          <w:rFonts w:ascii="Arial" w:eastAsia="Arial" w:hAnsi="Arial" w:cs="Arial"/>
        </w:rPr>
        <w:t xml:space="preserve"> de la respectiva publicación de hojas de vida para consulta ciudadana en el portal web del Departamento Administrativo del Servicio Civil Distrital.</w:t>
      </w:r>
    </w:p>
    <w:p w:rsidR="008B73EA" w:rsidRDefault="008B73EA">
      <w:pPr>
        <w:ind w:left="720"/>
        <w:jc w:val="both"/>
        <w:rPr>
          <w:rFonts w:ascii="Arial" w:eastAsia="Arial" w:hAnsi="Arial" w:cs="Arial"/>
        </w:rPr>
      </w:pPr>
    </w:p>
    <w:p w:rsidR="008B73EA" w:rsidRDefault="006F3668">
      <w:pPr>
        <w:numPr>
          <w:ilvl w:val="0"/>
          <w:numId w:val="1"/>
        </w:numPr>
        <w:jc w:val="both"/>
        <w:rPr>
          <w:rFonts w:ascii="Arial" w:eastAsia="Arial" w:hAnsi="Arial" w:cs="Arial"/>
        </w:rPr>
      </w:pPr>
      <w:r>
        <w:rPr>
          <w:rFonts w:ascii="Arial" w:eastAsia="Arial" w:hAnsi="Arial" w:cs="Arial"/>
        </w:rPr>
        <w:t>Los nombramientos provisionales se realizan después de tramitar el derecho preferencial de encargo que establece la Ley 909 de 2004, y para ellos se aplican principios de enfoque diferencial.</w:t>
      </w:r>
    </w:p>
    <w:p w:rsidR="008B73EA" w:rsidRDefault="008B73EA">
      <w:pPr>
        <w:ind w:left="720"/>
        <w:jc w:val="both"/>
        <w:rPr>
          <w:rFonts w:ascii="Arial" w:eastAsia="Arial" w:hAnsi="Arial" w:cs="Arial"/>
        </w:rPr>
      </w:pPr>
    </w:p>
    <w:p w:rsidR="00F253F0" w:rsidRDefault="00F253F0">
      <w:pPr>
        <w:ind w:left="720"/>
        <w:jc w:val="both"/>
        <w:rPr>
          <w:rFonts w:ascii="Arial" w:eastAsia="Arial" w:hAnsi="Arial" w:cs="Arial"/>
        </w:rPr>
      </w:pPr>
    </w:p>
    <w:p w:rsidR="00E12F73" w:rsidRDefault="00E12F73" w:rsidP="00E12F73">
      <w:pPr>
        <w:rPr>
          <w:rFonts w:ascii="Arial" w:eastAsia="Arial" w:hAnsi="Arial" w:cs="Arial"/>
        </w:rPr>
      </w:pPr>
      <w:r>
        <w:rPr>
          <w:rFonts w:ascii="Arial" w:eastAsia="Arial" w:hAnsi="Arial" w:cs="Arial"/>
          <w:b/>
        </w:rPr>
        <w:t>Contratación pública</w:t>
      </w:r>
    </w:p>
    <w:p w:rsidR="00F253F0" w:rsidRDefault="00F253F0" w:rsidP="00E12F73">
      <w:pPr>
        <w:pBdr>
          <w:top w:val="nil"/>
          <w:left w:val="nil"/>
          <w:bottom w:val="nil"/>
          <w:right w:val="nil"/>
          <w:between w:val="nil"/>
        </w:pBdr>
        <w:jc w:val="both"/>
        <w:rPr>
          <w:rFonts w:ascii="Arial" w:eastAsia="Arial" w:hAnsi="Arial" w:cs="Arial"/>
        </w:rPr>
      </w:pPr>
    </w:p>
    <w:p w:rsidR="00E12F73" w:rsidRDefault="00E12F73" w:rsidP="00E12F73">
      <w:pPr>
        <w:pBdr>
          <w:top w:val="nil"/>
          <w:left w:val="nil"/>
          <w:bottom w:val="nil"/>
          <w:right w:val="nil"/>
          <w:between w:val="nil"/>
        </w:pBdr>
        <w:jc w:val="both"/>
        <w:rPr>
          <w:rFonts w:ascii="Arial" w:eastAsia="Arial" w:hAnsi="Arial" w:cs="Arial"/>
        </w:rPr>
      </w:pPr>
      <w:r>
        <w:rPr>
          <w:rFonts w:ascii="Arial" w:eastAsia="Arial" w:hAnsi="Arial" w:cs="Arial"/>
        </w:rPr>
        <w:t xml:space="preserve">Durante la vigencia 2022, en el IDEP se suscribieron 129 contratos entre personas naturales y jurídicas, con las siguientes modalidades de contratación: 112 por contratación directa, 4 por mínima cuantía, 5 por convenios, 3 procesos a través de Tienda Virtual, 4 selecciones abreviadas por menor cuantía y 1 régimen especial.  </w:t>
      </w:r>
    </w:p>
    <w:p w:rsidR="00E12F73" w:rsidRDefault="00E12F73" w:rsidP="00E12F73">
      <w:pPr>
        <w:pBdr>
          <w:top w:val="nil"/>
          <w:left w:val="nil"/>
          <w:bottom w:val="nil"/>
          <w:right w:val="nil"/>
          <w:between w:val="nil"/>
        </w:pBdr>
        <w:jc w:val="both"/>
        <w:rPr>
          <w:rFonts w:ascii="Arial" w:eastAsia="Arial" w:hAnsi="Arial" w:cs="Arial"/>
        </w:rPr>
      </w:pPr>
    </w:p>
    <w:p w:rsidR="00E12F73" w:rsidRDefault="00E12F73" w:rsidP="00E12F73">
      <w:pPr>
        <w:jc w:val="both"/>
        <w:rPr>
          <w:rFonts w:ascii="Arial" w:eastAsia="Arial" w:hAnsi="Arial" w:cs="Arial"/>
        </w:rPr>
      </w:pPr>
      <w:r>
        <w:rPr>
          <w:rFonts w:ascii="Arial" w:eastAsia="Arial" w:hAnsi="Arial" w:cs="Arial"/>
        </w:rPr>
        <w:t>El IDEP cuenta con la publicación de sus procesos contractuales en la plataforma de SECOP II, promoviendo con ello la publicidad y transparencia en su actividad contractual. Además, para procesos de menor y mínima cuantía hace uso de la contratación a través de la Tienda virtual del Estado colombiano.</w:t>
      </w:r>
    </w:p>
    <w:p w:rsidR="00E12F73" w:rsidRDefault="00E12F73" w:rsidP="00E12F73">
      <w:pPr>
        <w:jc w:val="both"/>
        <w:rPr>
          <w:rFonts w:ascii="Arial" w:eastAsia="Arial" w:hAnsi="Arial" w:cs="Arial"/>
        </w:rPr>
      </w:pPr>
    </w:p>
    <w:p w:rsidR="00E12F73" w:rsidRDefault="00E12F73" w:rsidP="00E12F73">
      <w:pPr>
        <w:jc w:val="both"/>
        <w:rPr>
          <w:rFonts w:ascii="Arial" w:eastAsia="Arial" w:hAnsi="Arial" w:cs="Arial"/>
        </w:rPr>
      </w:pPr>
      <w:r>
        <w:rPr>
          <w:rFonts w:ascii="Arial" w:eastAsia="Arial" w:hAnsi="Arial" w:cs="Arial"/>
        </w:rPr>
        <w:t>De acuerdo con la Directiva 001 de 2020 de la Alcaldía Mayor y las circulares externas: 04 de 2020, 051 de 2020 y 002 de 2021, cada entidad deberá contar como mínimo el 10% de los contratos de prestación de servicios cuya selección se haga mediante el uso de la plataforma Talento No Palanca. Cumpliendo con este mandato el registro de uso del Banco de Hojas de Vida Talento No Palanca del IDEP correspondiente a la vigencia 2022, donde se reportaron 14 (13%) contratos suscritos haciendo uso del banco de Hojas de Vida “Talento No Palanca” de los 110 contratos suscritos entre prestación de servicios profesionales  y de apoyo a la gestión.</w:t>
      </w:r>
    </w:p>
    <w:p w:rsidR="00E12F73" w:rsidRDefault="00E12F73" w:rsidP="00E12F73">
      <w:pPr>
        <w:jc w:val="both"/>
        <w:rPr>
          <w:rFonts w:ascii="Arial" w:eastAsia="Arial" w:hAnsi="Arial" w:cs="Arial"/>
        </w:rPr>
      </w:pPr>
    </w:p>
    <w:p w:rsidR="00E12F73" w:rsidRDefault="00E12F73" w:rsidP="00E12F73">
      <w:pPr>
        <w:rPr>
          <w:rFonts w:ascii="Arial" w:eastAsia="Arial" w:hAnsi="Arial" w:cs="Arial"/>
          <w:b/>
        </w:rPr>
      </w:pPr>
      <w:r>
        <w:rPr>
          <w:rFonts w:ascii="Arial" w:eastAsia="Arial" w:hAnsi="Arial" w:cs="Arial"/>
          <w:b/>
        </w:rPr>
        <w:lastRenderedPageBreak/>
        <w:t xml:space="preserve">Información y publicación de información </w:t>
      </w:r>
    </w:p>
    <w:p w:rsidR="00E12F73" w:rsidRDefault="00E12F73" w:rsidP="00E12F73">
      <w:pPr>
        <w:jc w:val="both"/>
        <w:rPr>
          <w:rFonts w:ascii="Arial" w:eastAsia="Arial" w:hAnsi="Arial" w:cs="Arial"/>
          <w:highlight w:val="white"/>
        </w:rPr>
      </w:pPr>
      <w:r>
        <w:rPr>
          <w:rFonts w:ascii="Arial" w:eastAsia="Arial" w:hAnsi="Arial" w:cs="Arial"/>
        </w:rPr>
        <w:t xml:space="preserve">En cumplimiento de la </w:t>
      </w:r>
      <w:r>
        <w:rPr>
          <w:rFonts w:ascii="Arial" w:eastAsia="Arial" w:hAnsi="Arial" w:cs="Arial"/>
          <w:highlight w:val="white"/>
        </w:rPr>
        <w:t xml:space="preserve">de la Ley 1712 de 2014 “Por medio de la cual se crea la Ley de Transparencia y del Derecho de Acceso a la Información Pública Nacional y se dictan otras disposiciones”, el IDEP regula el derecho de acceso a la información pública, los procedimientos para el ejercicio y garantía del derecho y las excepciones a la publicidad de información. La información pública se puede consultar en el vínculo: </w:t>
      </w:r>
      <w:hyperlink r:id="rId11">
        <w:r>
          <w:rPr>
            <w:rFonts w:ascii="Arial" w:eastAsia="Arial" w:hAnsi="Arial" w:cs="Arial"/>
            <w:color w:val="1155CC"/>
            <w:highlight w:val="white"/>
            <w:u w:val="single"/>
          </w:rPr>
          <w:t>http://www.idep.edu.co/?q=menu-transparencia</w:t>
        </w:r>
      </w:hyperlink>
      <w:r>
        <w:rPr>
          <w:rFonts w:ascii="Arial" w:eastAsia="Arial" w:hAnsi="Arial" w:cs="Arial"/>
          <w:highlight w:val="white"/>
        </w:rPr>
        <w:t xml:space="preserve"> </w:t>
      </w:r>
    </w:p>
    <w:p w:rsidR="00E12F73" w:rsidRDefault="00E12F73" w:rsidP="00E12F73">
      <w:pPr>
        <w:jc w:val="center"/>
        <w:rPr>
          <w:rFonts w:ascii="Arial" w:eastAsia="Arial" w:hAnsi="Arial" w:cs="Arial"/>
          <w:b/>
          <w:sz w:val="16"/>
          <w:szCs w:val="16"/>
        </w:rPr>
      </w:pPr>
    </w:p>
    <w:p w:rsidR="00E12F73" w:rsidRDefault="00E12F73" w:rsidP="00E12F73">
      <w:pPr>
        <w:rPr>
          <w:rFonts w:ascii="Arial" w:eastAsia="Arial" w:hAnsi="Arial" w:cs="Arial"/>
          <w:b/>
        </w:rPr>
      </w:pPr>
      <w:r>
        <w:rPr>
          <w:rFonts w:ascii="Arial" w:eastAsia="Arial" w:hAnsi="Arial" w:cs="Arial"/>
          <w:b/>
        </w:rPr>
        <w:t>Productos y/o servicios institucionales</w:t>
      </w:r>
    </w:p>
    <w:p w:rsidR="00E12F73" w:rsidRDefault="00E12F73" w:rsidP="00E12F73">
      <w:pPr>
        <w:rPr>
          <w:rFonts w:ascii="Arial" w:eastAsia="Arial" w:hAnsi="Arial" w:cs="Arial"/>
        </w:rPr>
      </w:pPr>
      <w:r>
        <w:rPr>
          <w:rFonts w:ascii="Arial" w:eastAsia="Arial" w:hAnsi="Arial" w:cs="Arial"/>
        </w:rPr>
        <w:t xml:space="preserve">El portafolio de productos y servicios del Instituto para el cuatrienio 2020 - 2024 se encuentra en </w:t>
      </w:r>
      <w:hyperlink r:id="rId12">
        <w:r>
          <w:rPr>
            <w:rFonts w:ascii="Arial" w:eastAsia="Arial" w:hAnsi="Arial" w:cs="Arial"/>
            <w:color w:val="1155CC"/>
            <w:u w:val="single"/>
          </w:rPr>
          <w:t>http://www.idep.edu.co/sites/default/files/PORTAFOLIO%20IDEP%202022_V3_12%20Sept%202022.pdf</w:t>
        </w:r>
      </w:hyperlink>
    </w:p>
    <w:p w:rsidR="00E12F73" w:rsidRDefault="00E12F73" w:rsidP="00E12F73">
      <w:pPr>
        <w:rPr>
          <w:rFonts w:ascii="Arial" w:eastAsia="Arial" w:hAnsi="Arial" w:cs="Arial"/>
        </w:rPr>
      </w:pPr>
    </w:p>
    <w:p w:rsidR="00E12F73" w:rsidRDefault="00E12F73" w:rsidP="00E12F73">
      <w:pPr>
        <w:rPr>
          <w:rFonts w:ascii="Arial" w:eastAsia="Arial" w:hAnsi="Arial" w:cs="Arial"/>
          <w:b/>
        </w:rPr>
      </w:pPr>
      <w:r>
        <w:rPr>
          <w:rFonts w:ascii="Arial" w:eastAsia="Arial" w:hAnsi="Arial" w:cs="Arial"/>
          <w:b/>
        </w:rPr>
        <w:t>Trámites</w:t>
      </w:r>
    </w:p>
    <w:p w:rsidR="00E12F73" w:rsidRDefault="00E12F73" w:rsidP="00E12F73">
      <w:pPr>
        <w:jc w:val="both"/>
        <w:rPr>
          <w:rFonts w:ascii="Arial" w:eastAsia="Arial" w:hAnsi="Arial" w:cs="Arial"/>
          <w:highlight w:val="white"/>
        </w:rPr>
      </w:pPr>
      <w:r>
        <w:rPr>
          <w:rFonts w:ascii="Arial" w:eastAsia="Arial" w:hAnsi="Arial" w:cs="Arial"/>
        </w:rPr>
        <w:t xml:space="preserve">El IDEP tiene registrado en el Sistema Único de Identificación de Trámites (SUIT), dos procedimientos administrativos OPAS, que fueron objeto de la estrategia de racionalización de trámites: Postulación de artículos para publicación en la Revista Educación y Ciudad y </w:t>
      </w:r>
      <w:r>
        <w:rPr>
          <w:rFonts w:ascii="Arial" w:eastAsia="Arial" w:hAnsi="Arial" w:cs="Arial"/>
          <w:highlight w:val="white"/>
        </w:rPr>
        <w:t xml:space="preserve">Consulta material bibliográfico en el Centro de Recursos de Investigación e Innovación Educativa (CRIIE). Mayor Información: </w:t>
      </w:r>
      <w:hyperlink r:id="rId13">
        <w:r>
          <w:rPr>
            <w:rFonts w:ascii="Arial" w:eastAsia="Arial" w:hAnsi="Arial" w:cs="Arial"/>
            <w:color w:val="1155CC"/>
            <w:highlight w:val="white"/>
            <w:u w:val="single"/>
          </w:rPr>
          <w:t>http://www.idep.edu.co/?q=es/content/otros-procedimientos-administrativos</w:t>
        </w:r>
      </w:hyperlink>
      <w:r>
        <w:rPr>
          <w:rFonts w:ascii="Arial" w:eastAsia="Arial" w:hAnsi="Arial" w:cs="Arial"/>
          <w:highlight w:val="white"/>
        </w:rPr>
        <w:t xml:space="preserve"> </w:t>
      </w:r>
    </w:p>
    <w:p w:rsidR="00E12F73" w:rsidRDefault="00E12F73" w:rsidP="00E12F73">
      <w:pPr>
        <w:jc w:val="both"/>
        <w:rPr>
          <w:rFonts w:ascii="Arial" w:eastAsia="Arial" w:hAnsi="Arial" w:cs="Arial"/>
          <w:highlight w:val="white"/>
        </w:rPr>
      </w:pPr>
    </w:p>
    <w:p w:rsidR="00E12F73" w:rsidRDefault="00E12F73" w:rsidP="00E12F73">
      <w:pPr>
        <w:tabs>
          <w:tab w:val="center" w:pos="4419"/>
          <w:tab w:val="right" w:pos="8838"/>
        </w:tabs>
        <w:rPr>
          <w:rFonts w:ascii="Arial" w:eastAsia="Arial" w:hAnsi="Arial" w:cs="Arial"/>
          <w:b/>
        </w:rPr>
      </w:pPr>
      <w:r>
        <w:rPr>
          <w:rFonts w:ascii="Arial" w:eastAsia="Arial" w:hAnsi="Arial" w:cs="Arial"/>
          <w:b/>
        </w:rPr>
        <w:t xml:space="preserve">Oferta de información canales electrónicos  </w:t>
      </w:r>
    </w:p>
    <w:p w:rsidR="00E12F73" w:rsidRDefault="00E12F73" w:rsidP="00E12F73">
      <w:pPr>
        <w:tabs>
          <w:tab w:val="center" w:pos="4419"/>
          <w:tab w:val="right" w:pos="8838"/>
        </w:tabs>
        <w:jc w:val="both"/>
        <w:rPr>
          <w:rFonts w:ascii="Arial" w:eastAsia="Arial" w:hAnsi="Arial" w:cs="Arial"/>
        </w:rPr>
      </w:pPr>
      <w:r>
        <w:rPr>
          <w:rFonts w:ascii="Arial" w:eastAsia="Arial" w:hAnsi="Arial" w:cs="Arial"/>
        </w:rPr>
        <w:t>Este canal integra todos los medios de servicio al ciudadano que se prestan a través de tecnologías de información y comunicaciones como correo electrónico, formato de página web y redes sociales.</w:t>
      </w:r>
    </w:p>
    <w:p w:rsidR="00E12F73" w:rsidRDefault="00E12F73" w:rsidP="00E12F73">
      <w:pPr>
        <w:tabs>
          <w:tab w:val="center" w:pos="4419"/>
          <w:tab w:val="right" w:pos="8838"/>
        </w:tabs>
        <w:jc w:val="both"/>
        <w:rPr>
          <w:rFonts w:ascii="Arial" w:eastAsia="Arial" w:hAnsi="Arial" w:cs="Arial"/>
        </w:rPr>
      </w:pPr>
      <w:r>
        <w:rPr>
          <w:rFonts w:ascii="Arial" w:eastAsia="Arial" w:hAnsi="Arial" w:cs="Arial"/>
        </w:rPr>
        <w:t>Los canales habilitados son:</w:t>
      </w:r>
    </w:p>
    <w:p w:rsidR="00E12F73" w:rsidRDefault="00E12F73" w:rsidP="00E12F73">
      <w:pPr>
        <w:tabs>
          <w:tab w:val="center" w:pos="4419"/>
          <w:tab w:val="right" w:pos="8838"/>
        </w:tabs>
        <w:jc w:val="both"/>
        <w:rPr>
          <w:rFonts w:ascii="Arial" w:eastAsia="Arial" w:hAnsi="Arial" w:cs="Arial"/>
          <w:color w:val="1155CC"/>
        </w:rPr>
      </w:pPr>
      <w:r>
        <w:rPr>
          <w:rFonts w:ascii="Arial" w:eastAsia="Arial" w:hAnsi="Arial" w:cs="Arial"/>
        </w:rPr>
        <w:t>1. Correo Institucional</w:t>
      </w:r>
      <w:r>
        <w:rPr>
          <w:rFonts w:ascii="Arial" w:eastAsia="Arial" w:hAnsi="Arial" w:cs="Arial"/>
          <w:i/>
        </w:rPr>
        <w:t>:</w:t>
      </w:r>
      <w:r>
        <w:rPr>
          <w:rFonts w:ascii="Arial" w:eastAsia="Arial" w:hAnsi="Arial" w:cs="Arial"/>
        </w:rPr>
        <w:t xml:space="preserve"> </w:t>
      </w:r>
      <w:r>
        <w:rPr>
          <w:rFonts w:ascii="Arial" w:eastAsia="Arial" w:hAnsi="Arial" w:cs="Arial"/>
          <w:color w:val="1155CC"/>
        </w:rPr>
        <w:t>idep@idep.edu.co</w:t>
      </w:r>
    </w:p>
    <w:p w:rsidR="00E12F73" w:rsidRDefault="00E12F73" w:rsidP="00E12F73">
      <w:pPr>
        <w:tabs>
          <w:tab w:val="center" w:pos="4419"/>
          <w:tab w:val="right" w:pos="8838"/>
        </w:tabs>
        <w:jc w:val="both"/>
        <w:rPr>
          <w:rFonts w:ascii="Arial" w:eastAsia="Arial" w:hAnsi="Arial" w:cs="Arial"/>
          <w:color w:val="1155CC"/>
        </w:rPr>
      </w:pPr>
      <w:r>
        <w:rPr>
          <w:rFonts w:ascii="Arial" w:eastAsia="Arial" w:hAnsi="Arial" w:cs="Arial"/>
        </w:rPr>
        <w:t>2. Página web</w:t>
      </w:r>
      <w:r>
        <w:rPr>
          <w:rFonts w:ascii="Arial" w:eastAsia="Arial" w:hAnsi="Arial" w:cs="Arial"/>
          <w:i/>
        </w:rPr>
        <w:t>:</w:t>
      </w:r>
      <w:hyperlink r:id="rId14">
        <w:r>
          <w:rPr>
            <w:rFonts w:ascii="Arial" w:eastAsia="Arial" w:hAnsi="Arial" w:cs="Arial"/>
            <w:color w:val="1155CC"/>
          </w:rPr>
          <w:t xml:space="preserve"> http://www.idep.edu.co</w:t>
        </w:r>
      </w:hyperlink>
    </w:p>
    <w:p w:rsidR="00E12F73" w:rsidRDefault="00E12F73" w:rsidP="00E12F73">
      <w:pPr>
        <w:tabs>
          <w:tab w:val="center" w:pos="4419"/>
          <w:tab w:val="right" w:pos="8838"/>
        </w:tabs>
        <w:jc w:val="both"/>
        <w:rPr>
          <w:rFonts w:ascii="Arial" w:eastAsia="Arial" w:hAnsi="Arial" w:cs="Arial"/>
          <w:color w:val="1155CC"/>
          <w:u w:val="single"/>
        </w:rPr>
      </w:pPr>
      <w:r>
        <w:rPr>
          <w:rFonts w:ascii="Arial" w:eastAsia="Arial" w:hAnsi="Arial" w:cs="Arial"/>
        </w:rPr>
        <w:t>3. Bogotá Te Escucha</w:t>
      </w:r>
      <w:r>
        <w:rPr>
          <w:rFonts w:ascii="Arial" w:eastAsia="Arial" w:hAnsi="Arial" w:cs="Arial"/>
          <w:i/>
        </w:rPr>
        <w:t>:</w:t>
      </w:r>
      <w:r>
        <w:rPr>
          <w:rFonts w:ascii="Arial" w:eastAsia="Arial" w:hAnsi="Arial" w:cs="Arial"/>
        </w:rPr>
        <w:t xml:space="preserve"> Sistema Distrital de Quejas y Soluciones a través del cual puede interponer quejas, reclamos, solicitudes de información, consultas, sugerencias, felicitaciones, denuncias por corrupción, que puedan afectar sus intereses o los de la comunidad</w:t>
      </w:r>
      <w:hyperlink r:id="rId15">
        <w:r>
          <w:rPr>
            <w:rFonts w:ascii="Arial" w:eastAsia="Arial" w:hAnsi="Arial" w:cs="Arial"/>
            <w:color w:val="1155CC"/>
          </w:rPr>
          <w:t xml:space="preserve"> </w:t>
        </w:r>
      </w:hyperlink>
      <w:hyperlink r:id="rId16">
        <w:r>
          <w:rPr>
            <w:rFonts w:ascii="Arial" w:eastAsia="Arial" w:hAnsi="Arial" w:cs="Arial"/>
            <w:color w:val="1155CC"/>
            <w:u w:val="single"/>
          </w:rPr>
          <w:t>http://www.bogota.gov.co/sdqs</w:t>
        </w:r>
      </w:hyperlink>
    </w:p>
    <w:p w:rsidR="00E12F73" w:rsidRDefault="00E12F73" w:rsidP="00E12F73">
      <w:pPr>
        <w:jc w:val="both"/>
        <w:rPr>
          <w:rFonts w:ascii="Arial" w:eastAsia="Arial" w:hAnsi="Arial" w:cs="Arial"/>
        </w:rPr>
      </w:pPr>
    </w:p>
    <w:p w:rsidR="00E12F73" w:rsidRDefault="00E12F73" w:rsidP="00E12F73">
      <w:pPr>
        <w:rPr>
          <w:rFonts w:ascii="Arial" w:eastAsia="Arial" w:hAnsi="Arial" w:cs="Arial"/>
          <w:highlight w:val="white"/>
        </w:rPr>
      </w:pPr>
      <w:r>
        <w:rPr>
          <w:rFonts w:ascii="Arial" w:eastAsia="Arial" w:hAnsi="Arial" w:cs="Arial"/>
          <w:b/>
          <w:highlight w:val="white"/>
        </w:rPr>
        <w:t>Canal presencial:</w:t>
      </w:r>
      <w:r>
        <w:rPr>
          <w:rFonts w:ascii="Arial" w:eastAsia="Arial" w:hAnsi="Arial" w:cs="Arial"/>
          <w:highlight w:val="white"/>
        </w:rPr>
        <w:t xml:space="preserve"> </w:t>
      </w:r>
      <w:r>
        <w:rPr>
          <w:rFonts w:ascii="Arial" w:eastAsia="Arial" w:hAnsi="Arial" w:cs="Arial"/>
        </w:rPr>
        <w:t>Por este canal es posible mantener la interacción cara a cara, en tiempo real, entre el servidor público y la ciudadanía</w:t>
      </w:r>
      <w:r>
        <w:rPr>
          <w:rFonts w:ascii="Arial" w:eastAsia="Arial" w:hAnsi="Arial" w:cs="Arial"/>
          <w:highlight w:val="white"/>
        </w:rPr>
        <w:t>.</w:t>
      </w:r>
      <w:r>
        <w:rPr>
          <w:rFonts w:ascii="Arial" w:eastAsia="Arial" w:hAnsi="Arial" w:cs="Arial"/>
        </w:rPr>
        <w:t xml:space="preserve"> H</w:t>
      </w:r>
      <w:r>
        <w:rPr>
          <w:rFonts w:ascii="Arial" w:eastAsia="Arial" w:hAnsi="Arial" w:cs="Arial"/>
          <w:highlight w:val="white"/>
        </w:rPr>
        <w:t>orario de atención de lunes a viernes 7:00 a.m. a 4:30 p.m. Jornada Continua. Cita previa.</w:t>
      </w:r>
    </w:p>
    <w:p w:rsidR="00E12F73" w:rsidRPr="00307B51" w:rsidRDefault="00E12F73" w:rsidP="00E12F73">
      <w:pPr>
        <w:rPr>
          <w:rFonts w:ascii="Arial" w:eastAsia="Arial" w:hAnsi="Arial" w:cs="Arial"/>
          <w:sz w:val="16"/>
          <w:szCs w:val="16"/>
        </w:rPr>
      </w:pPr>
      <w:r>
        <w:rPr>
          <w:rFonts w:ascii="Arial" w:eastAsia="Arial" w:hAnsi="Arial" w:cs="Arial"/>
          <w:highlight w:val="white"/>
        </w:rPr>
        <w:t>Ventanilla única de radicación:</w:t>
      </w:r>
      <w:r>
        <w:rPr>
          <w:rFonts w:ascii="Arial" w:eastAsia="Arial" w:hAnsi="Arial" w:cs="Arial"/>
        </w:rPr>
        <w:t xml:space="preserve"> Avenida Calle 26 No. 69 – 76 Torre 1 Oficina 1004 </w:t>
      </w:r>
      <w:r w:rsidRPr="00307B51">
        <w:rPr>
          <w:rFonts w:ascii="Arial" w:eastAsia="Arial" w:hAnsi="Arial" w:cs="Arial"/>
          <w:sz w:val="16"/>
          <w:szCs w:val="16"/>
        </w:rPr>
        <w:t>Edificio Elemento.</w:t>
      </w:r>
    </w:p>
    <w:p w:rsidR="00E12F73" w:rsidRDefault="00E12F73" w:rsidP="00E12F73">
      <w:pPr>
        <w:jc w:val="both"/>
        <w:rPr>
          <w:rFonts w:ascii="Arial" w:eastAsia="Arial" w:hAnsi="Arial" w:cs="Arial"/>
        </w:rPr>
      </w:pPr>
    </w:p>
    <w:p w:rsidR="00E12F73" w:rsidRDefault="00E12F73" w:rsidP="00E12F73">
      <w:pPr>
        <w:rPr>
          <w:rFonts w:ascii="Arial" w:eastAsia="Arial" w:hAnsi="Arial" w:cs="Arial"/>
          <w:b/>
        </w:rPr>
      </w:pPr>
      <w:r>
        <w:rPr>
          <w:rFonts w:ascii="Arial" w:eastAsia="Arial" w:hAnsi="Arial" w:cs="Arial"/>
          <w:b/>
        </w:rPr>
        <w:t xml:space="preserve">Espacios de participación en línea </w:t>
      </w:r>
    </w:p>
    <w:p w:rsidR="00E12F73" w:rsidRDefault="00E12F73" w:rsidP="00E12F73">
      <w:pPr>
        <w:rPr>
          <w:rFonts w:ascii="Arial" w:eastAsia="Arial" w:hAnsi="Arial" w:cs="Arial"/>
        </w:rPr>
      </w:pPr>
      <w:r>
        <w:rPr>
          <w:rFonts w:ascii="Arial" w:eastAsia="Arial" w:hAnsi="Arial" w:cs="Arial"/>
        </w:rPr>
        <w:t xml:space="preserve">Durante la vigencia se transmitieron 44 eventos en línea a través de los cuales se tuvo un alcance de 56.705 personas, 5486 interacciones y 3884 me gusta. El detalle de los eventos se encuentra en: </w:t>
      </w:r>
      <w:hyperlink r:id="rId17">
        <w:r>
          <w:rPr>
            <w:rFonts w:ascii="Arial" w:eastAsia="Arial" w:hAnsi="Arial" w:cs="Arial"/>
            <w:color w:val="1155CC"/>
            <w:u w:val="single"/>
          </w:rPr>
          <w:t>http://www.idep.edu.co/?q=content/informe-de-gestion</w:t>
        </w:r>
      </w:hyperlink>
    </w:p>
    <w:p w:rsidR="00E12F73" w:rsidRDefault="00E12F73" w:rsidP="00E12F73">
      <w:pPr>
        <w:rPr>
          <w:rFonts w:ascii="Arial" w:eastAsia="Arial" w:hAnsi="Arial" w:cs="Arial"/>
          <w:b/>
        </w:rPr>
      </w:pPr>
    </w:p>
    <w:p w:rsidR="00E12F73" w:rsidRDefault="00E12F73" w:rsidP="00E12F73">
      <w:pPr>
        <w:rPr>
          <w:rFonts w:ascii="Arial" w:eastAsia="Arial" w:hAnsi="Arial" w:cs="Arial"/>
          <w:b/>
        </w:rPr>
      </w:pPr>
      <w:r>
        <w:rPr>
          <w:rFonts w:ascii="Arial" w:eastAsia="Arial" w:hAnsi="Arial" w:cs="Arial"/>
          <w:b/>
        </w:rPr>
        <w:t>Espacios de participación presenciales</w:t>
      </w:r>
    </w:p>
    <w:p w:rsidR="00E12F73" w:rsidRDefault="00E12F73" w:rsidP="00E12F73">
      <w:pPr>
        <w:jc w:val="both"/>
        <w:rPr>
          <w:rFonts w:ascii="Arial" w:eastAsia="Arial" w:hAnsi="Arial" w:cs="Arial"/>
        </w:rPr>
      </w:pPr>
      <w:r>
        <w:rPr>
          <w:rFonts w:ascii="Arial" w:eastAsia="Arial" w:hAnsi="Arial" w:cs="Arial"/>
        </w:rPr>
        <w:t>Se llevaron a cabo dos diálogos ciudadanos presenciales. El primero se realizó el 30 de junio, con 15 participantes presenciales y 419 visualizaciones de la transmisión por Facebook Live, cuyo objetivo fue presentar el lanzamiento de la Nota de Política Pública “Fenómeno nini en Bogotá: jóvenes que no estudian ni trabajan”. En este evento se recibieron 9 observaciones a este respecto. El segundo espacio de diálogo se desarrolló el 30 de noviembre y tuvo como objetivo presentar el lanzamiento de los libros de la "Serie Digital Maestras y Maestros 10", con la participación de 15 ciudadanos y 245 visualizaciones en la transmisión de nuestro canal de YouTube, durante el evento no se presentaron preguntas o inquietudes por parte de los ciudadanos asistentes.</w:t>
      </w:r>
    </w:p>
    <w:p w:rsidR="00307B51" w:rsidRDefault="00307B51" w:rsidP="00E12F73">
      <w:pPr>
        <w:rPr>
          <w:rFonts w:ascii="Arial" w:eastAsia="Arial" w:hAnsi="Arial" w:cs="Arial"/>
          <w:b/>
        </w:rPr>
      </w:pPr>
    </w:p>
    <w:p w:rsidR="00E12F73" w:rsidRDefault="00E12F73" w:rsidP="00E12F73">
      <w:pPr>
        <w:rPr>
          <w:rFonts w:ascii="Arial" w:eastAsia="Arial" w:hAnsi="Arial" w:cs="Arial"/>
          <w:b/>
          <w:color w:val="202124"/>
        </w:rPr>
      </w:pPr>
      <w:r>
        <w:rPr>
          <w:rFonts w:ascii="Arial" w:eastAsia="Arial" w:hAnsi="Arial" w:cs="Arial"/>
          <w:b/>
          <w:color w:val="202124"/>
        </w:rPr>
        <w:t>Conjunto de datos abiertos disponibles</w:t>
      </w:r>
    </w:p>
    <w:p w:rsidR="00E12F73" w:rsidRDefault="00E12F73" w:rsidP="00E12F73">
      <w:pPr>
        <w:rPr>
          <w:rFonts w:ascii="Arial" w:eastAsia="Arial" w:hAnsi="Arial" w:cs="Arial"/>
          <w:color w:val="202124"/>
        </w:rPr>
      </w:pPr>
      <w:r>
        <w:rPr>
          <w:rFonts w:ascii="Arial" w:eastAsia="Arial" w:hAnsi="Arial" w:cs="Arial"/>
          <w:color w:val="202124"/>
        </w:rPr>
        <w:t xml:space="preserve">En el vínculo de Transparencia y Acceso a la Información en el numeral 7.2. </w:t>
      </w:r>
      <w:hyperlink r:id="rId18">
        <w:r>
          <w:rPr>
            <w:rFonts w:ascii="Arial" w:eastAsia="Arial" w:hAnsi="Arial" w:cs="Arial"/>
            <w:color w:val="1155CC"/>
            <w:u w:val="single"/>
          </w:rPr>
          <w:t>http://www.idep.edu.co/?q=menu-transparencia</w:t>
        </w:r>
      </w:hyperlink>
      <w:r>
        <w:rPr>
          <w:rFonts w:ascii="Arial" w:eastAsia="Arial" w:hAnsi="Arial" w:cs="Arial"/>
          <w:color w:val="202124"/>
        </w:rPr>
        <w:t xml:space="preserve"> el catálogo de datos abiertos y los datos que se publican en Datos abiertos Bogotá y Datos abiertos gov.co </w:t>
      </w:r>
    </w:p>
    <w:p w:rsidR="00E12F73" w:rsidRDefault="00E12F73" w:rsidP="00E12F73">
      <w:pPr>
        <w:rPr>
          <w:rFonts w:ascii="Arial" w:eastAsia="Arial" w:hAnsi="Arial" w:cs="Arial"/>
          <w:b/>
        </w:rPr>
      </w:pPr>
      <w:r>
        <w:rPr>
          <w:rFonts w:ascii="Arial" w:eastAsia="Arial" w:hAnsi="Arial" w:cs="Arial"/>
          <w:b/>
        </w:rPr>
        <w:lastRenderedPageBreak/>
        <w:t xml:space="preserve">Acciones y resultados de fortalecimiento institucional </w:t>
      </w:r>
    </w:p>
    <w:p w:rsidR="00E12F73" w:rsidRDefault="00E12F73" w:rsidP="00E12F73">
      <w:pPr>
        <w:tabs>
          <w:tab w:val="left" w:pos="284"/>
          <w:tab w:val="left" w:pos="708"/>
        </w:tabs>
        <w:jc w:val="both"/>
        <w:rPr>
          <w:rFonts w:ascii="Arial" w:eastAsia="Arial" w:hAnsi="Arial" w:cs="Arial"/>
          <w:highlight w:val="white"/>
        </w:rPr>
      </w:pPr>
      <w:r>
        <w:rPr>
          <w:rFonts w:ascii="Arial" w:eastAsia="Arial" w:hAnsi="Arial" w:cs="Arial"/>
          <w:highlight w:val="white"/>
        </w:rPr>
        <w:t xml:space="preserve">En la vigencia 2022, el Instituto fortaleció las capacidades organizacionales alineando la estrategia institucional y el modelo de operación por procesos, con un avance en la actualización del Sistema Integrado de Gestión en 36%, simplificando en un 8% la cantidad de documentos. </w:t>
      </w:r>
    </w:p>
    <w:p w:rsidR="00E12F73" w:rsidRDefault="00E12F73" w:rsidP="00E12F73">
      <w:pPr>
        <w:tabs>
          <w:tab w:val="left" w:pos="284"/>
          <w:tab w:val="left" w:pos="708"/>
        </w:tabs>
        <w:jc w:val="both"/>
        <w:rPr>
          <w:rFonts w:ascii="Arial" w:eastAsia="Arial" w:hAnsi="Arial" w:cs="Arial"/>
          <w:highlight w:val="white"/>
        </w:rPr>
      </w:pPr>
    </w:p>
    <w:p w:rsidR="00E12F73" w:rsidRDefault="00E12F73" w:rsidP="00E12F73">
      <w:pPr>
        <w:tabs>
          <w:tab w:val="left" w:pos="284"/>
          <w:tab w:val="left" w:pos="708"/>
        </w:tabs>
        <w:jc w:val="both"/>
        <w:rPr>
          <w:rFonts w:ascii="Arial" w:eastAsia="Arial" w:hAnsi="Arial" w:cs="Arial"/>
          <w:highlight w:val="white"/>
        </w:rPr>
      </w:pPr>
      <w:r>
        <w:rPr>
          <w:rFonts w:ascii="Arial" w:eastAsia="Arial" w:hAnsi="Arial" w:cs="Arial"/>
          <w:highlight w:val="white"/>
        </w:rPr>
        <w:t xml:space="preserve">De esta manera en la medición del Índice de Desempeño Institucional, el IDEP aumentó a </w:t>
      </w:r>
      <w:r>
        <w:rPr>
          <w:rFonts w:ascii="Arial" w:eastAsia="Arial" w:hAnsi="Arial" w:cs="Arial"/>
          <w:b/>
          <w:highlight w:val="white"/>
        </w:rPr>
        <w:t xml:space="preserve">93.4 </w:t>
      </w:r>
      <w:r>
        <w:rPr>
          <w:rFonts w:ascii="Arial" w:eastAsia="Arial" w:hAnsi="Arial" w:cs="Arial"/>
          <w:highlight w:val="white"/>
        </w:rPr>
        <w:t xml:space="preserve">puntos vigencia 2021, frente a </w:t>
      </w:r>
      <w:proofErr w:type="gramStart"/>
      <w:r>
        <w:rPr>
          <w:rFonts w:ascii="Arial" w:eastAsia="Arial" w:hAnsi="Arial" w:cs="Arial"/>
          <w:highlight w:val="white"/>
        </w:rPr>
        <w:t>los 92 vigencia</w:t>
      </w:r>
      <w:proofErr w:type="gramEnd"/>
      <w:r>
        <w:rPr>
          <w:rFonts w:ascii="Arial" w:eastAsia="Arial" w:hAnsi="Arial" w:cs="Arial"/>
          <w:highlight w:val="white"/>
        </w:rPr>
        <w:t xml:space="preserve"> 2020 y 84.9 vigencia 2019, contribuyendo con la Meta establecida en el PDD UNCSAB de </w:t>
      </w:r>
      <w:r>
        <w:rPr>
          <w:rFonts w:ascii="Arial" w:eastAsia="Arial" w:hAnsi="Arial" w:cs="Arial"/>
          <w:b/>
          <w:highlight w:val="white"/>
        </w:rPr>
        <w:t>90,7</w:t>
      </w:r>
      <w:r>
        <w:rPr>
          <w:rFonts w:ascii="Arial" w:eastAsia="Arial" w:hAnsi="Arial" w:cs="Arial"/>
          <w:highlight w:val="white"/>
        </w:rPr>
        <w:t xml:space="preserve"> puntos en el IDI promedio Distrital. </w:t>
      </w:r>
    </w:p>
    <w:p w:rsidR="00E12F73" w:rsidRDefault="00E12F73" w:rsidP="00E12F73">
      <w:pPr>
        <w:rPr>
          <w:rFonts w:ascii="Arial" w:eastAsia="Arial" w:hAnsi="Arial" w:cs="Arial"/>
          <w:b/>
        </w:rPr>
      </w:pPr>
    </w:p>
    <w:p w:rsidR="00E12F73" w:rsidRDefault="00E12F73" w:rsidP="00E12F73">
      <w:pPr>
        <w:rPr>
          <w:rFonts w:ascii="Arial" w:eastAsia="Arial" w:hAnsi="Arial" w:cs="Arial"/>
          <w:b/>
        </w:rPr>
      </w:pPr>
      <w:r>
        <w:rPr>
          <w:rFonts w:ascii="Arial" w:eastAsia="Arial" w:hAnsi="Arial" w:cs="Arial"/>
          <w:b/>
        </w:rPr>
        <w:t>Estrategia Anticorrupción y Gestión del Riesgo</w:t>
      </w:r>
    </w:p>
    <w:p w:rsidR="00E12F73" w:rsidRDefault="00E12F73" w:rsidP="00E12F73">
      <w:pPr>
        <w:rPr>
          <w:rFonts w:ascii="Arial" w:eastAsia="Arial" w:hAnsi="Arial" w:cs="Arial"/>
        </w:rPr>
      </w:pPr>
      <w:r>
        <w:rPr>
          <w:rFonts w:ascii="Arial" w:eastAsia="Arial" w:hAnsi="Arial" w:cs="Arial"/>
        </w:rPr>
        <w:t xml:space="preserve">La entidad cuenta con los riesgos actualizados de conformidad con la metodología del DAFP y se realiza el respectivo seguimiento por parte de las respectivas líneas de defensa y puede consultarlo en el siguiente vínculo: </w:t>
      </w:r>
      <w:hyperlink r:id="rId19">
        <w:r>
          <w:rPr>
            <w:rFonts w:ascii="Arial" w:eastAsia="Arial" w:hAnsi="Arial" w:cs="Arial"/>
            <w:color w:val="1155CC"/>
            <w:u w:val="single"/>
          </w:rPr>
          <w:t>http://www.idep.edu.co/?q=es/node/32</w:t>
        </w:r>
      </w:hyperlink>
    </w:p>
    <w:p w:rsidR="00E12F73" w:rsidRDefault="00E12F73" w:rsidP="00E12F73">
      <w:pPr>
        <w:rPr>
          <w:rFonts w:ascii="Arial" w:eastAsia="Arial" w:hAnsi="Arial" w:cs="Arial"/>
          <w:b/>
        </w:rPr>
      </w:pPr>
    </w:p>
    <w:p w:rsidR="00E12F73" w:rsidRDefault="00E12F73" w:rsidP="00E12F73">
      <w:pPr>
        <w:rPr>
          <w:rFonts w:ascii="Arial" w:eastAsia="Arial" w:hAnsi="Arial" w:cs="Arial"/>
          <w:b/>
        </w:rPr>
      </w:pPr>
      <w:r>
        <w:rPr>
          <w:rFonts w:ascii="Arial" w:eastAsia="Arial" w:hAnsi="Arial" w:cs="Arial"/>
          <w:b/>
        </w:rPr>
        <w:t>Plan Anticorrupción y de Atención al Ciudadano</w:t>
      </w:r>
    </w:p>
    <w:p w:rsidR="00E12F73" w:rsidRDefault="00E12F73" w:rsidP="00E12F73">
      <w:pPr>
        <w:jc w:val="both"/>
        <w:rPr>
          <w:rFonts w:ascii="Arial" w:eastAsia="Arial" w:hAnsi="Arial" w:cs="Arial"/>
        </w:rPr>
      </w:pPr>
      <w:r>
        <w:rPr>
          <w:rFonts w:ascii="Arial" w:eastAsia="Arial" w:hAnsi="Arial" w:cs="Arial"/>
        </w:rPr>
        <w:t xml:space="preserve">Como parte de la estrategia anticorrupción, el IDEP formuló y realizó seguimiento a la ejecución del Plan Anticorrupción y Atención al Ciudadano, en el cual se formularon 38 actividades para los componentes de riesgos, racionalización de trámites, rendición de cuentas, atención al ciudadano, transparencia e integridad, con un cumplimiento de 37 actividades correspondiente al 94,8%. Mayor información: </w:t>
      </w:r>
      <w:hyperlink r:id="rId20">
        <w:r>
          <w:rPr>
            <w:rFonts w:ascii="Arial" w:eastAsia="Arial" w:hAnsi="Arial" w:cs="Arial"/>
            <w:color w:val="1155CC"/>
            <w:u w:val="single"/>
          </w:rPr>
          <w:t>http://www.idep.edu.co/?q=es/node/32</w:t>
        </w:r>
      </w:hyperlink>
      <w:r>
        <w:rPr>
          <w:rFonts w:ascii="Arial" w:eastAsia="Arial" w:hAnsi="Arial" w:cs="Arial"/>
        </w:rPr>
        <w:t xml:space="preserve"> </w:t>
      </w:r>
    </w:p>
    <w:p w:rsidR="00E12F73" w:rsidRDefault="00E12F73" w:rsidP="00E12F73">
      <w:pPr>
        <w:rPr>
          <w:rFonts w:ascii="Arial" w:eastAsia="Arial" w:hAnsi="Arial" w:cs="Arial"/>
          <w:b/>
        </w:rPr>
      </w:pPr>
    </w:p>
    <w:p w:rsidR="00E12F73" w:rsidRDefault="00E12F73" w:rsidP="00E12F73">
      <w:pPr>
        <w:rPr>
          <w:rFonts w:ascii="Arial" w:eastAsia="Arial" w:hAnsi="Arial" w:cs="Arial"/>
          <w:b/>
        </w:rPr>
      </w:pPr>
      <w:r>
        <w:rPr>
          <w:rFonts w:ascii="Arial" w:eastAsia="Arial" w:hAnsi="Arial" w:cs="Arial"/>
          <w:b/>
        </w:rPr>
        <w:t>Gobierno Abierto</w:t>
      </w:r>
    </w:p>
    <w:p w:rsidR="00E12F73" w:rsidRDefault="00E12F73" w:rsidP="00E12F73">
      <w:pPr>
        <w:pBdr>
          <w:top w:val="nil"/>
          <w:left w:val="nil"/>
          <w:bottom w:val="nil"/>
          <w:right w:val="nil"/>
          <w:between w:val="nil"/>
        </w:pBdr>
        <w:tabs>
          <w:tab w:val="left" w:pos="284"/>
          <w:tab w:val="left" w:pos="708"/>
        </w:tabs>
        <w:jc w:val="both"/>
        <w:rPr>
          <w:rFonts w:ascii="Arial" w:eastAsia="Arial" w:hAnsi="Arial" w:cs="Arial"/>
          <w:highlight w:val="white"/>
        </w:rPr>
      </w:pPr>
      <w:r>
        <w:rPr>
          <w:rFonts w:ascii="Arial" w:eastAsia="Arial" w:hAnsi="Arial" w:cs="Arial"/>
          <w:highlight w:val="white"/>
        </w:rPr>
        <w:t xml:space="preserve">Como modelo de gestión pública que facilita una relación democrática y transparente entre </w:t>
      </w:r>
      <w:proofErr w:type="spellStart"/>
      <w:r>
        <w:rPr>
          <w:rFonts w:ascii="Arial" w:eastAsia="Arial" w:hAnsi="Arial" w:cs="Arial"/>
          <w:highlight w:val="white"/>
        </w:rPr>
        <w:t>Ia</w:t>
      </w:r>
      <w:proofErr w:type="spellEnd"/>
      <w:r>
        <w:rPr>
          <w:rFonts w:ascii="Arial" w:eastAsia="Arial" w:hAnsi="Arial" w:cs="Arial"/>
          <w:highlight w:val="white"/>
        </w:rPr>
        <w:t xml:space="preserve"> administración distrital y </w:t>
      </w:r>
      <w:proofErr w:type="spellStart"/>
      <w:r>
        <w:rPr>
          <w:rFonts w:ascii="Arial" w:eastAsia="Arial" w:hAnsi="Arial" w:cs="Arial"/>
          <w:highlight w:val="white"/>
        </w:rPr>
        <w:t>Ia</w:t>
      </w:r>
      <w:proofErr w:type="spellEnd"/>
      <w:r>
        <w:rPr>
          <w:rFonts w:ascii="Arial" w:eastAsia="Arial" w:hAnsi="Arial" w:cs="Arial"/>
          <w:highlight w:val="white"/>
        </w:rPr>
        <w:t xml:space="preserve"> ciudadanía, se sustenta en pilares transparencia, colaboración, participación y servicio a la ciudadanía, en el cual el Instituto acompaña en las estrategias de:</w:t>
      </w:r>
    </w:p>
    <w:p w:rsidR="00E12F73" w:rsidRDefault="00E12F73" w:rsidP="00E12F73">
      <w:pPr>
        <w:pBdr>
          <w:top w:val="nil"/>
          <w:left w:val="nil"/>
          <w:bottom w:val="nil"/>
          <w:right w:val="nil"/>
          <w:between w:val="nil"/>
        </w:pBdr>
        <w:tabs>
          <w:tab w:val="left" w:pos="284"/>
          <w:tab w:val="left" w:pos="708"/>
        </w:tabs>
        <w:jc w:val="both"/>
        <w:rPr>
          <w:rFonts w:ascii="Arial" w:eastAsia="Arial" w:hAnsi="Arial" w:cs="Arial"/>
          <w:highlight w:val="white"/>
          <w:u w:val="single"/>
        </w:rPr>
      </w:pPr>
    </w:p>
    <w:p w:rsidR="00E12F73" w:rsidRDefault="00E12F73" w:rsidP="00E12F73">
      <w:pPr>
        <w:pBdr>
          <w:top w:val="nil"/>
          <w:left w:val="nil"/>
          <w:bottom w:val="nil"/>
          <w:right w:val="nil"/>
          <w:between w:val="nil"/>
        </w:pBdr>
        <w:tabs>
          <w:tab w:val="left" w:pos="284"/>
          <w:tab w:val="left" w:pos="708"/>
        </w:tabs>
        <w:jc w:val="both"/>
        <w:rPr>
          <w:rFonts w:ascii="Arial" w:eastAsia="Arial" w:hAnsi="Arial" w:cs="Arial"/>
          <w:highlight w:val="white"/>
          <w:u w:val="single"/>
        </w:rPr>
      </w:pPr>
      <w:r>
        <w:rPr>
          <w:rFonts w:ascii="Arial" w:eastAsia="Arial" w:hAnsi="Arial" w:cs="Arial"/>
          <w:highlight w:val="white"/>
          <w:u w:val="single"/>
        </w:rPr>
        <w:t>Compromisos de GAB</w:t>
      </w:r>
    </w:p>
    <w:p w:rsidR="00E12F73" w:rsidRDefault="00E12F73" w:rsidP="00E12F73">
      <w:pPr>
        <w:pBdr>
          <w:top w:val="nil"/>
          <w:left w:val="nil"/>
          <w:bottom w:val="nil"/>
          <w:right w:val="nil"/>
          <w:between w:val="nil"/>
        </w:pBdr>
        <w:tabs>
          <w:tab w:val="left" w:pos="284"/>
          <w:tab w:val="left" w:pos="708"/>
        </w:tabs>
        <w:jc w:val="both"/>
        <w:rPr>
          <w:rFonts w:ascii="Arial" w:eastAsia="Arial" w:hAnsi="Arial" w:cs="Arial"/>
          <w:highlight w:val="white"/>
        </w:rPr>
      </w:pPr>
      <w:r>
        <w:rPr>
          <w:rFonts w:ascii="Arial" w:eastAsia="Arial" w:hAnsi="Arial" w:cs="Arial"/>
          <w:highlight w:val="white"/>
        </w:rPr>
        <w:t>Se asumieron los siguientes compromisos los cuales se reportan trimestralmente a la Secretaría General de la Alcaldía Mayor de Bogotá:</w:t>
      </w:r>
    </w:p>
    <w:p w:rsidR="00E12F73" w:rsidRDefault="00E12F73" w:rsidP="00E12F73">
      <w:pPr>
        <w:numPr>
          <w:ilvl w:val="0"/>
          <w:numId w:val="2"/>
        </w:numPr>
        <w:pBdr>
          <w:top w:val="nil"/>
          <w:left w:val="nil"/>
          <w:bottom w:val="nil"/>
          <w:right w:val="nil"/>
          <w:between w:val="nil"/>
        </w:pBdr>
        <w:tabs>
          <w:tab w:val="left" w:pos="284"/>
          <w:tab w:val="left" w:pos="708"/>
        </w:tabs>
        <w:jc w:val="both"/>
        <w:rPr>
          <w:rFonts w:ascii="Arial" w:eastAsia="Arial" w:hAnsi="Arial" w:cs="Arial"/>
          <w:highlight w:val="white"/>
        </w:rPr>
      </w:pPr>
      <w:r>
        <w:rPr>
          <w:rFonts w:ascii="Arial" w:eastAsia="Arial" w:hAnsi="Arial" w:cs="Arial"/>
          <w:highlight w:val="white"/>
        </w:rPr>
        <w:t>Inteligencia colectiva y gamificación para la participación y cooperación docente</w:t>
      </w:r>
    </w:p>
    <w:p w:rsidR="00E12F73" w:rsidRDefault="00E12F73" w:rsidP="00E12F73">
      <w:pPr>
        <w:numPr>
          <w:ilvl w:val="0"/>
          <w:numId w:val="2"/>
        </w:numPr>
        <w:pBdr>
          <w:top w:val="nil"/>
          <w:left w:val="nil"/>
          <w:bottom w:val="nil"/>
          <w:right w:val="nil"/>
          <w:between w:val="nil"/>
        </w:pBdr>
        <w:tabs>
          <w:tab w:val="left" w:pos="284"/>
          <w:tab w:val="left" w:pos="708"/>
        </w:tabs>
        <w:jc w:val="both"/>
        <w:rPr>
          <w:rFonts w:ascii="Arial" w:eastAsia="Arial" w:hAnsi="Arial" w:cs="Arial"/>
          <w:highlight w:val="white"/>
        </w:rPr>
      </w:pPr>
      <w:r>
        <w:rPr>
          <w:rFonts w:ascii="Arial" w:eastAsia="Arial" w:hAnsi="Arial" w:cs="Arial"/>
          <w:highlight w:val="white"/>
        </w:rPr>
        <w:t>Divulgación del conocimiento para la investigación y la innovación docente</w:t>
      </w:r>
    </w:p>
    <w:p w:rsidR="00E12F73" w:rsidRDefault="00E12F73" w:rsidP="00E12F73">
      <w:pPr>
        <w:jc w:val="both"/>
        <w:rPr>
          <w:rFonts w:ascii="Arial" w:eastAsia="Arial" w:hAnsi="Arial" w:cs="Arial"/>
          <w:u w:val="single"/>
        </w:rPr>
      </w:pPr>
    </w:p>
    <w:p w:rsidR="00E12F73" w:rsidRDefault="00E12F73" w:rsidP="00E12F73">
      <w:pPr>
        <w:jc w:val="both"/>
        <w:rPr>
          <w:rFonts w:ascii="Arial" w:eastAsia="Arial" w:hAnsi="Arial" w:cs="Arial"/>
        </w:rPr>
      </w:pPr>
      <w:r>
        <w:rPr>
          <w:rFonts w:ascii="Arial" w:eastAsia="Arial" w:hAnsi="Arial" w:cs="Arial"/>
          <w:u w:val="single"/>
        </w:rPr>
        <w:t>Botón Conoce, Propone y Prioriza</w:t>
      </w:r>
      <w:r>
        <w:rPr>
          <w:rFonts w:ascii="Arial" w:eastAsia="Arial" w:hAnsi="Arial" w:cs="Arial"/>
        </w:rPr>
        <w:t xml:space="preserve"> </w:t>
      </w:r>
    </w:p>
    <w:p w:rsidR="00E12F73" w:rsidRDefault="00E12F73" w:rsidP="00E12F73">
      <w:pPr>
        <w:jc w:val="both"/>
        <w:rPr>
          <w:rFonts w:ascii="Arial" w:eastAsia="Arial" w:hAnsi="Arial" w:cs="Arial"/>
          <w:highlight w:val="white"/>
        </w:rPr>
      </w:pPr>
      <w:r>
        <w:rPr>
          <w:rFonts w:ascii="Arial" w:eastAsia="Arial" w:hAnsi="Arial" w:cs="Arial"/>
        </w:rPr>
        <w:t xml:space="preserve">Con el fin de promover una senda de integridad a partir de las prácticas de gobierno abierto y de fomento de nuevos valores que transformen la relación entre la administración y la ciudadanía se dispuso en el vínculo de Transparencia y Acceso a la Información Pública en el numeral 6 </w:t>
      </w:r>
      <w:proofErr w:type="gramStart"/>
      <w:r>
        <w:rPr>
          <w:rFonts w:ascii="Arial" w:eastAsia="Arial" w:hAnsi="Arial" w:cs="Arial"/>
        </w:rPr>
        <w:t>ítem</w:t>
      </w:r>
      <w:proofErr w:type="gramEnd"/>
      <w:r>
        <w:rPr>
          <w:rFonts w:ascii="Arial" w:eastAsia="Arial" w:hAnsi="Arial" w:cs="Arial"/>
        </w:rPr>
        <w:t xml:space="preserve"> 6.5. Colaboración e Innovación Abierta en el cual la ciudadanía </w:t>
      </w:r>
      <w:r>
        <w:rPr>
          <w:rFonts w:ascii="Arial" w:eastAsia="Arial" w:hAnsi="Arial" w:cs="Arial"/>
          <w:highlight w:val="white"/>
        </w:rPr>
        <w:t>pueda proponer y priorizar soluciones a los retos de nuestra ciudad.</w:t>
      </w:r>
    </w:p>
    <w:p w:rsidR="00E12F73" w:rsidRDefault="00E12F73" w:rsidP="00E12F73">
      <w:pPr>
        <w:shd w:val="clear" w:color="auto" w:fill="FFFFFF"/>
        <w:jc w:val="both"/>
        <w:rPr>
          <w:rFonts w:ascii="Arial" w:eastAsia="Arial" w:hAnsi="Arial" w:cs="Arial"/>
          <w:color w:val="333333"/>
          <w:sz w:val="21"/>
          <w:szCs w:val="21"/>
          <w:highlight w:val="white"/>
          <w:u w:val="single"/>
        </w:rPr>
      </w:pPr>
    </w:p>
    <w:p w:rsidR="00E12F73" w:rsidRDefault="00E12F73" w:rsidP="00E12F73">
      <w:pPr>
        <w:pBdr>
          <w:top w:val="nil"/>
          <w:left w:val="nil"/>
          <w:bottom w:val="nil"/>
          <w:right w:val="nil"/>
          <w:between w:val="nil"/>
        </w:pBdr>
        <w:tabs>
          <w:tab w:val="left" w:pos="284"/>
          <w:tab w:val="left" w:pos="708"/>
        </w:tabs>
        <w:jc w:val="both"/>
        <w:rPr>
          <w:rFonts w:ascii="Arial" w:eastAsia="Arial" w:hAnsi="Arial" w:cs="Arial"/>
          <w:highlight w:val="white"/>
          <w:u w:val="single"/>
        </w:rPr>
      </w:pPr>
      <w:r>
        <w:rPr>
          <w:rFonts w:ascii="Arial" w:eastAsia="Arial" w:hAnsi="Arial" w:cs="Arial"/>
          <w:highlight w:val="white"/>
          <w:u w:val="single"/>
        </w:rPr>
        <w:t>Apertura Agendas Directivos</w:t>
      </w:r>
    </w:p>
    <w:p w:rsidR="00E12F73" w:rsidRDefault="00E12F73" w:rsidP="00E12F73">
      <w:pPr>
        <w:pBdr>
          <w:top w:val="nil"/>
          <w:left w:val="nil"/>
          <w:bottom w:val="nil"/>
          <w:right w:val="nil"/>
          <w:between w:val="nil"/>
        </w:pBdr>
        <w:tabs>
          <w:tab w:val="left" w:pos="284"/>
          <w:tab w:val="left" w:pos="708"/>
        </w:tabs>
        <w:jc w:val="both"/>
        <w:rPr>
          <w:rFonts w:ascii="Arial" w:eastAsia="Arial" w:hAnsi="Arial" w:cs="Arial"/>
          <w:highlight w:val="white"/>
        </w:rPr>
      </w:pPr>
      <w:r>
        <w:rPr>
          <w:rFonts w:ascii="Arial" w:eastAsia="Arial" w:hAnsi="Arial" w:cs="Arial"/>
          <w:highlight w:val="white"/>
        </w:rPr>
        <w:t xml:space="preserve">Como práctica de transparencia e integridad, con el contenido publicado, la ciudadanía y a quien interese, puede conocer el relacionamiento de los Directivos del Instituto con los grupos de interés externos a nuestra entidad o a la administración. Para ello se dispuso en el vínculo de Transparencia y Acceso a la Información Pública en el numeral 1 Información de la Entidad en el ítem 1.5.7. </w:t>
      </w:r>
      <w:proofErr w:type="gramStart"/>
      <w:r>
        <w:rPr>
          <w:rFonts w:ascii="Arial" w:eastAsia="Arial" w:hAnsi="Arial" w:cs="Arial"/>
          <w:highlight w:val="white"/>
        </w:rPr>
        <w:t>la</w:t>
      </w:r>
      <w:proofErr w:type="gramEnd"/>
      <w:r>
        <w:rPr>
          <w:rFonts w:ascii="Arial" w:eastAsia="Arial" w:hAnsi="Arial" w:cs="Arial"/>
          <w:highlight w:val="white"/>
        </w:rPr>
        <w:t xml:space="preserve"> publicación de agendas de nuestros directivos como un recurso que facilite el control social. </w:t>
      </w:r>
    </w:p>
    <w:p w:rsidR="00E12F73" w:rsidRDefault="00E12F73">
      <w:pPr>
        <w:ind w:left="720"/>
        <w:jc w:val="both"/>
        <w:rPr>
          <w:rFonts w:ascii="Arial" w:eastAsia="Arial" w:hAnsi="Arial" w:cs="Arial"/>
        </w:rPr>
      </w:pPr>
    </w:p>
    <w:sectPr w:rsidR="00E12F73">
      <w:headerReference w:type="default" r:id="rId21"/>
      <w:footerReference w:type="default" r:id="rId22"/>
      <w:pgSz w:w="12240" w:h="15840"/>
      <w:pgMar w:top="1985" w:right="1701" w:bottom="1701" w:left="1701" w:header="561"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6BC" w:rsidRDefault="00DA46BC">
      <w:r>
        <w:separator/>
      </w:r>
    </w:p>
  </w:endnote>
  <w:endnote w:type="continuationSeparator" w:id="0">
    <w:p w:rsidR="00DA46BC" w:rsidRDefault="00DA4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EA" w:rsidRDefault="006F3668">
    <w:pPr>
      <w:pBdr>
        <w:top w:val="nil"/>
        <w:left w:val="nil"/>
        <w:bottom w:val="nil"/>
        <w:right w:val="nil"/>
        <w:between w:val="nil"/>
      </w:pBdr>
      <w:tabs>
        <w:tab w:val="center" w:pos="4419"/>
        <w:tab w:val="right" w:pos="8838"/>
      </w:tabs>
      <w:jc w:val="right"/>
      <w:rPr>
        <w:rFonts w:ascii="Calibri" w:eastAsia="Calibri" w:hAnsi="Calibri" w:cs="Calibri"/>
        <w:color w:val="000000"/>
        <w:sz w:val="22"/>
        <w:szCs w:val="22"/>
      </w:rPr>
    </w:pPr>
    <w:r>
      <w:rPr>
        <w:rFonts w:ascii="Calibri" w:eastAsia="Calibri" w:hAnsi="Calibri" w:cs="Calibri"/>
        <w:color w:val="000000"/>
        <w:sz w:val="22"/>
        <w:szCs w:val="22"/>
      </w:rPr>
      <w:tab/>
    </w:r>
    <w:r>
      <w:rPr>
        <w:noProof/>
        <w:lang w:val="es-CO"/>
      </w:rPr>
      <mc:AlternateContent>
        <mc:Choice Requires="wps">
          <w:drawing>
            <wp:anchor distT="0" distB="0" distL="114300" distR="114300" simplePos="0" relativeHeight="251658240" behindDoc="0" locked="0" layoutInCell="1" hidden="0" allowOverlap="1">
              <wp:simplePos x="0" y="0"/>
              <wp:positionH relativeFrom="column">
                <wp:posOffset>-419099</wp:posOffset>
              </wp:positionH>
              <wp:positionV relativeFrom="paragraph">
                <wp:posOffset>-431799</wp:posOffset>
              </wp:positionV>
              <wp:extent cx="4118610" cy="822960"/>
              <wp:effectExtent l="0" t="0" r="0" b="0"/>
              <wp:wrapNone/>
              <wp:docPr id="309" name="Rectángulo 309"/>
              <wp:cNvGraphicFramePr/>
              <a:graphic xmlns:a="http://schemas.openxmlformats.org/drawingml/2006/main">
                <a:graphicData uri="http://schemas.microsoft.com/office/word/2010/wordprocessingShape">
                  <wps:wsp>
                    <wps:cNvSpPr/>
                    <wps:spPr>
                      <a:xfrm>
                        <a:off x="3291458" y="3373283"/>
                        <a:ext cx="4109085" cy="813435"/>
                      </a:xfrm>
                      <a:prstGeom prst="rect">
                        <a:avLst/>
                      </a:prstGeom>
                      <a:solidFill>
                        <a:srgbClr val="FFFFFF"/>
                      </a:solidFill>
                      <a:ln>
                        <a:noFill/>
                      </a:ln>
                    </wps:spPr>
                    <wps:txbx>
                      <w:txbxContent>
                        <w:p w:rsidR="008B73EA" w:rsidRDefault="006F3668">
                          <w:pPr>
                            <w:textDirection w:val="btLr"/>
                          </w:pPr>
                          <w:r>
                            <w:rPr>
                              <w:rFonts w:ascii="Arial" w:eastAsia="Arial" w:hAnsi="Arial" w:cs="Arial"/>
                              <w:color w:val="17365D"/>
                              <w:sz w:val="14"/>
                            </w:rPr>
                            <w:t>INSTITUTO PARA LA INVESTIGACIÓN EDUCATIVA Y EL DESARROLLO PEDAGÓGICO, IDEP</w:t>
                          </w:r>
                        </w:p>
                        <w:p w:rsidR="008B73EA" w:rsidRDefault="006F3668">
                          <w:pPr>
                            <w:textDirection w:val="btLr"/>
                          </w:pPr>
                          <w:r>
                            <w:rPr>
                              <w:rFonts w:ascii="Arial" w:eastAsia="Arial" w:hAnsi="Arial" w:cs="Arial"/>
                              <w:color w:val="17365D"/>
                              <w:sz w:val="14"/>
                            </w:rPr>
                            <w:t>Avenida Calle 26 No. 69 – 76 Torre 1 Oficina 1004 Edificio Elemento - Código Postal: 111071</w:t>
                          </w:r>
                        </w:p>
                        <w:p w:rsidR="008B73EA" w:rsidRDefault="006F3668">
                          <w:pPr>
                            <w:textDirection w:val="btLr"/>
                          </w:pPr>
                          <w:r>
                            <w:rPr>
                              <w:rFonts w:ascii="Arial" w:eastAsia="Arial" w:hAnsi="Arial" w:cs="Arial"/>
                              <w:color w:val="17365D"/>
                              <w:sz w:val="14"/>
                            </w:rPr>
                            <w:t>PBX (57-1) 263 0603 - Línea de atención al ciudadano 195</w:t>
                          </w:r>
                        </w:p>
                        <w:p w:rsidR="008B73EA" w:rsidRDefault="006F3668">
                          <w:pPr>
                            <w:textDirection w:val="btLr"/>
                          </w:pPr>
                          <w:r>
                            <w:rPr>
                              <w:rFonts w:ascii="Arial" w:eastAsia="Arial" w:hAnsi="Arial" w:cs="Arial"/>
                              <w:color w:val="17365D"/>
                              <w:sz w:val="14"/>
                            </w:rPr>
                            <w:t>Bogotá DC - Colombia</w:t>
                          </w:r>
                        </w:p>
                        <w:p w:rsidR="008B73EA" w:rsidRDefault="006F3668">
                          <w:pPr>
                            <w:textDirection w:val="btLr"/>
                          </w:pPr>
                          <w:r>
                            <w:rPr>
                              <w:rFonts w:ascii="Arial" w:eastAsia="Arial" w:hAnsi="Arial" w:cs="Arial"/>
                              <w:color w:val="17365D"/>
                              <w:sz w:val="14"/>
                            </w:rPr>
                            <w:t>idep@idep.edu.co</w:t>
                          </w:r>
                        </w:p>
                        <w:p w:rsidR="008B73EA" w:rsidRDefault="006F3668">
                          <w:pPr>
                            <w:textDirection w:val="btLr"/>
                          </w:pPr>
                          <w:r>
                            <w:rPr>
                              <w:rFonts w:ascii="Arial" w:eastAsia="Arial" w:hAnsi="Arial" w:cs="Arial"/>
                              <w:color w:val="17365D"/>
                              <w:sz w:val="14"/>
                            </w:rPr>
                            <w:t>www.idep.edu.co</w:t>
                          </w:r>
                        </w:p>
                      </w:txbxContent>
                    </wps:txbx>
                    <wps:bodyPr spcFirstLastPara="1" wrap="square" lIns="91425" tIns="45700" rIns="91425" bIns="45700" anchor="t" anchorCtr="0">
                      <a:noAutofit/>
                    </wps:bodyPr>
                  </wps:wsp>
                </a:graphicData>
              </a:graphic>
            </wp:anchor>
          </w:drawing>
        </mc:Choice>
        <mc:Fallback>
          <w:pict>
            <v:rect id="Rectángulo 309" o:spid="_x0000_s1026" style="position:absolute;left:0;text-align:left;margin-left:-33pt;margin-top:-34pt;width:324.3pt;height:64.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" stroked="f">
              <v:textbox inset="2.53958mm,1.2694mm,2.53958mm,1.2694mm">
                <w:txbxContent>
                  <w:p w:rsidR="008B73EA" w:rsidRDefault="006F3668">
                    <w:pPr>
                      <w:textDirection w:val="btLr"/>
                    </w:pPr>
                    <w:r>
                      <w:rPr>
                        <w:rFonts w:ascii="Arial" w:eastAsia="Arial" w:hAnsi="Arial" w:cs="Arial"/>
                        <w:color w:val="17365D"/>
                        <w:sz w:val="14"/>
                      </w:rPr>
                      <w:t>INSTITUTO PARA LA INVESTIGACIÓN EDUCATIVA Y EL DESARROLLO PEDAGÓGICO, IDEP</w:t>
                    </w:r>
                  </w:p>
                  <w:p w:rsidR="008B73EA" w:rsidRDefault="006F3668">
                    <w:pPr>
                      <w:textDirection w:val="btLr"/>
                    </w:pPr>
                    <w:r>
                      <w:rPr>
                        <w:rFonts w:ascii="Arial" w:eastAsia="Arial" w:hAnsi="Arial" w:cs="Arial"/>
                        <w:color w:val="17365D"/>
                        <w:sz w:val="14"/>
                      </w:rPr>
                      <w:t>Avenida Calle 26 No. 69 – 76 Torre 1 Oficina 1004 Edificio Elemento - Código Postal: 111071</w:t>
                    </w:r>
                  </w:p>
                  <w:p w:rsidR="008B73EA" w:rsidRDefault="006F3668">
                    <w:pPr>
                      <w:textDirection w:val="btLr"/>
                    </w:pPr>
                    <w:r>
                      <w:rPr>
                        <w:rFonts w:ascii="Arial" w:eastAsia="Arial" w:hAnsi="Arial" w:cs="Arial"/>
                        <w:color w:val="17365D"/>
                        <w:sz w:val="14"/>
                      </w:rPr>
                      <w:t>PBX (57-1) 263 0603 - Línea de atención al ciudadano 195</w:t>
                    </w:r>
                  </w:p>
                  <w:p w:rsidR="008B73EA" w:rsidRDefault="006F3668">
                    <w:pPr>
                      <w:textDirection w:val="btLr"/>
                    </w:pPr>
                    <w:r>
                      <w:rPr>
                        <w:rFonts w:ascii="Arial" w:eastAsia="Arial" w:hAnsi="Arial" w:cs="Arial"/>
                        <w:color w:val="17365D"/>
                        <w:sz w:val="14"/>
                      </w:rPr>
                      <w:t>Bogotá DC - Colombia</w:t>
                    </w:r>
                  </w:p>
                  <w:p w:rsidR="008B73EA" w:rsidRDefault="006F3668">
                    <w:pPr>
                      <w:textDirection w:val="btLr"/>
                    </w:pPr>
                    <w:r>
                      <w:rPr>
                        <w:rFonts w:ascii="Arial" w:eastAsia="Arial" w:hAnsi="Arial" w:cs="Arial"/>
                        <w:color w:val="17365D"/>
                        <w:sz w:val="14"/>
                      </w:rPr>
                      <w:t>idep@idep.edu.co</w:t>
                    </w:r>
                  </w:p>
                  <w:p w:rsidR="008B73EA" w:rsidRDefault="006F3668">
                    <w:pPr>
                      <w:textDirection w:val="btLr"/>
                    </w:pPr>
                    <w:r>
                      <w:rPr>
                        <w:rFonts w:ascii="Arial" w:eastAsia="Arial" w:hAnsi="Arial" w:cs="Arial"/>
                        <w:color w:val="17365D"/>
                        <w:sz w:val="14"/>
                      </w:rPr>
                      <w:t>www.idep.edu.co</w:t>
                    </w:r>
                  </w:p>
                </w:txbxContent>
              </v:textbox>
            </v:rect>
          </w:pict>
        </mc:Fallback>
      </mc:AlternateContent>
    </w:r>
    <w:r>
      <w:rPr>
        <w:noProof/>
        <w:lang w:val="es-CO"/>
      </w:rPr>
      <mc:AlternateContent>
        <mc:Choice Requires="wps">
          <w:drawing>
            <wp:anchor distT="0" distB="0" distL="114300" distR="114300" simplePos="0" relativeHeight="251659264" behindDoc="0" locked="0" layoutInCell="1" hidden="0" allowOverlap="1">
              <wp:simplePos x="0" y="0"/>
              <wp:positionH relativeFrom="column">
                <wp:posOffset>3806190</wp:posOffset>
              </wp:positionH>
              <wp:positionV relativeFrom="paragraph">
                <wp:posOffset>-445770</wp:posOffset>
              </wp:positionV>
              <wp:extent cx="2219325" cy="752475"/>
              <wp:effectExtent l="0" t="0" r="0" b="0"/>
              <wp:wrapNone/>
              <wp:docPr id="308" name="Cuadro de texto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52475"/>
                      </a:xfrm>
                      <a:prstGeom prst="rect">
                        <a:avLst/>
                      </a:prstGeom>
                      <a:noFill/>
                      <a:ln w="9525">
                        <a:noFill/>
                        <a:miter lim="800000"/>
                        <a:headEnd/>
                        <a:tailEnd/>
                      </a:ln>
                    </wps:spPr>
                    <wps:txbx>
                      <w:txbxContent>
                        <w:p w:rsidR="00F678B0" w:rsidRDefault="006F3668">
                          <w:r>
                            <w:rPr>
                              <w:noProof/>
                              <w:lang w:val="es-CO"/>
                            </w:rPr>
                            <w:drawing>
                              <wp:inline distT="0" distB="0" distL="0" distR="0">
                                <wp:extent cx="2012950" cy="652145"/>
                                <wp:effectExtent l="0" t="0" r="635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blip>
                                        <a:stretch>
                                          <a:fillRect/>
                                        </a:stretch>
                                      </pic:blipFill>
                                      <pic:spPr>
                                        <a:xfrm>
                                          <a:off x="0" y="0"/>
                                          <a:ext cx="2012950" cy="652145"/>
                                        </a:xfrm>
                                        <a:prstGeom prst="rect">
                                          <a:avLst/>
                                        </a:prstGeom>
                                      </pic:spPr>
                                    </pic:pic>
                                  </a:graphicData>
                                </a:graphic>
                              </wp:inline>
                            </w:drawing>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308" o:spid="_x0000_s1027" type="#_x0000_t202" style="position:absolute;left:0;text-align:left;margin-left:299.7pt;margin-top:-35.1pt;width:174.75pt;height:5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" filled="f" stroked="f">
              <v:textbox>
                <w:txbxContent>
                  <w:p w:rsidR="00F678B0" w:rsidRDefault="006F3668">
                    <w:r>
                      <w:rPr>
                        <w:noProof/>
                        <w:lang w:val="es-CO"/>
                      </w:rPr>
                      <w:drawing>
                        <wp:inline distT="0" distB="0" distL="0" distR="0">
                          <wp:extent cx="2012950" cy="652145"/>
                          <wp:effectExtent l="0" t="0" r="635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ogotá 2020 peq.jpg"/>
                                  <pic:cNvPicPr/>
                                </pic:nvPicPr>
                                <pic:blipFill>
                                  <a:blip r:embed="rId1">
                                    <a:extLst/>
                                  </a:blip>
                                  <a:stretch>
                                    <a:fillRect/>
                                  </a:stretch>
                                </pic:blipFill>
                                <pic:spPr>
                                  <a:xfrm>
                                    <a:off x="0" y="0"/>
                                    <a:ext cx="2012950" cy="652145"/>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6BC" w:rsidRDefault="00DA46BC">
      <w:r>
        <w:separator/>
      </w:r>
    </w:p>
  </w:footnote>
  <w:footnote w:type="continuationSeparator" w:id="0">
    <w:p w:rsidR="00DA46BC" w:rsidRDefault="00DA4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3EA" w:rsidRDefault="006F3668">
    <w:pPr>
      <w:pBdr>
        <w:top w:val="nil"/>
        <w:left w:val="nil"/>
        <w:bottom w:val="nil"/>
        <w:right w:val="nil"/>
        <w:between w:val="nil"/>
      </w:pBdr>
      <w:tabs>
        <w:tab w:val="center" w:pos="4419"/>
        <w:tab w:val="right" w:pos="8838"/>
      </w:tabs>
      <w:jc w:val="center"/>
      <w:rPr>
        <w:rFonts w:ascii="Arial" w:eastAsia="Arial" w:hAnsi="Arial" w:cs="Arial"/>
        <w:b/>
      </w:rPr>
    </w:pPr>
    <w:r>
      <w:rPr>
        <w:rFonts w:ascii="Calibri" w:eastAsia="Calibri" w:hAnsi="Calibri" w:cs="Calibri"/>
        <w:noProof/>
        <w:color w:val="000000"/>
        <w:sz w:val="22"/>
        <w:szCs w:val="22"/>
        <w:lang w:val="es-CO"/>
      </w:rPr>
      <w:drawing>
        <wp:inline distT="0" distB="0" distL="0" distR="0">
          <wp:extent cx="886680" cy="832235"/>
          <wp:effectExtent l="0" t="0" r="0" b="0"/>
          <wp:docPr id="311"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
                  <a:srcRect/>
                  <a:stretch>
                    <a:fillRect/>
                  </a:stretch>
                </pic:blipFill>
                <pic:spPr>
                  <a:xfrm>
                    <a:off x="0" y="0"/>
                    <a:ext cx="886680" cy="83223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B451D"/>
    <w:multiLevelType w:val="multilevel"/>
    <w:tmpl w:val="73E6D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ED2AB3"/>
    <w:multiLevelType w:val="multilevel"/>
    <w:tmpl w:val="885250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EA"/>
    <w:rsid w:val="00024B64"/>
    <w:rsid w:val="00261742"/>
    <w:rsid w:val="00271FAA"/>
    <w:rsid w:val="00307B51"/>
    <w:rsid w:val="003E1D1B"/>
    <w:rsid w:val="0040568C"/>
    <w:rsid w:val="0046466D"/>
    <w:rsid w:val="004F7C47"/>
    <w:rsid w:val="006F3668"/>
    <w:rsid w:val="00711F9D"/>
    <w:rsid w:val="007405AF"/>
    <w:rsid w:val="007C5C96"/>
    <w:rsid w:val="008154AA"/>
    <w:rsid w:val="008B73EA"/>
    <w:rsid w:val="00907B43"/>
    <w:rsid w:val="009E6A20"/>
    <w:rsid w:val="00A12CA8"/>
    <w:rsid w:val="00A15F3F"/>
    <w:rsid w:val="00A4767E"/>
    <w:rsid w:val="00B31523"/>
    <w:rsid w:val="00B84239"/>
    <w:rsid w:val="00BA0530"/>
    <w:rsid w:val="00CC13E6"/>
    <w:rsid w:val="00DA46BC"/>
    <w:rsid w:val="00E12F73"/>
    <w:rsid w:val="00E97AFA"/>
    <w:rsid w:val="00EA2F94"/>
    <w:rsid w:val="00EC4771"/>
    <w:rsid w:val="00ED4F9A"/>
    <w:rsid w:val="00F253F0"/>
    <w:rsid w:val="00FD24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C58601-0796-43BE-B7A6-48F2F0C75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_tradnl"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2"/>
    <w:pPr>
      <w:overflowPunct w:val="0"/>
      <w:autoSpaceDE w:val="0"/>
      <w:autoSpaceDN w:val="0"/>
      <w:adjustRightInd w:val="0"/>
    </w:pPr>
  </w:style>
  <w:style w:type="paragraph" w:styleId="Ttulo1">
    <w:name w:val="heading 1"/>
    <w:basedOn w:val="Normal"/>
    <w:next w:val="Normal"/>
    <w:link w:val="Ttulo1Car"/>
    <w:uiPriority w:val="9"/>
    <w:qFormat/>
    <w:rsid w:val="006F7C1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6F7C1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F7C1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B3628C"/>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B3628C"/>
  </w:style>
  <w:style w:type="paragraph" w:styleId="Piedepgina">
    <w:name w:val="footer"/>
    <w:basedOn w:val="Normal"/>
    <w:link w:val="PiedepginaCar"/>
    <w:uiPriority w:val="99"/>
    <w:unhideWhenUsed/>
    <w:rsid w:val="00B3628C"/>
    <w:pPr>
      <w:tabs>
        <w:tab w:val="center" w:pos="4419"/>
        <w:tab w:val="right" w:pos="8838"/>
      </w:tabs>
      <w:overflowPunct/>
      <w:autoSpaceDE/>
      <w:autoSpaceDN/>
      <w:adjustRightInd/>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B3628C"/>
  </w:style>
  <w:style w:type="paragraph" w:styleId="Textodeglobo">
    <w:name w:val="Balloon Text"/>
    <w:basedOn w:val="Normal"/>
    <w:link w:val="TextodegloboCar"/>
    <w:uiPriority w:val="99"/>
    <w:semiHidden/>
    <w:unhideWhenUsed/>
    <w:rsid w:val="00B3628C"/>
    <w:rPr>
      <w:rFonts w:ascii="Tahoma" w:hAnsi="Tahoma" w:cs="Tahoma"/>
      <w:sz w:val="16"/>
      <w:szCs w:val="16"/>
    </w:rPr>
  </w:style>
  <w:style w:type="character" w:customStyle="1" w:styleId="TextodegloboCar">
    <w:name w:val="Texto de globo Car"/>
    <w:basedOn w:val="Fuentedeprrafopredeter"/>
    <w:link w:val="Textodeglobo"/>
    <w:uiPriority w:val="99"/>
    <w:semiHidden/>
    <w:rsid w:val="00B3628C"/>
    <w:rPr>
      <w:rFonts w:ascii="Tahoma" w:hAnsi="Tahoma" w:cs="Tahoma"/>
      <w:sz w:val="16"/>
      <w:szCs w:val="16"/>
    </w:rPr>
  </w:style>
  <w:style w:type="table" w:styleId="Tablaconcuadrcula">
    <w:name w:val="Table Grid"/>
    <w:basedOn w:val="Tablanormal"/>
    <w:rsid w:val="00D47A52"/>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B2790F"/>
    <w:pPr>
      <w:ind w:left="720"/>
      <w:contextualSpacing/>
      <w:textAlignment w:val="baseline"/>
    </w:pPr>
    <w:rPr>
      <w:rFonts w:eastAsia="Calibri"/>
    </w:rPr>
  </w:style>
  <w:style w:type="paragraph" w:customStyle="1" w:styleId="Default">
    <w:name w:val="Default"/>
    <w:rsid w:val="00B2369A"/>
    <w:pPr>
      <w:autoSpaceDE w:val="0"/>
      <w:autoSpaceDN w:val="0"/>
      <w:adjustRightInd w:val="0"/>
    </w:pPr>
    <w:rPr>
      <w:rFonts w:ascii="Arial" w:hAnsi="Arial" w:cs="Arial"/>
      <w:color w:val="000000"/>
      <w:sz w:val="24"/>
      <w:szCs w:val="24"/>
    </w:rPr>
  </w:style>
  <w:style w:type="paragraph" w:styleId="Descripcin">
    <w:name w:val="caption"/>
    <w:basedOn w:val="Normal"/>
    <w:next w:val="Normal"/>
    <w:unhideWhenUsed/>
    <w:qFormat/>
    <w:rsid w:val="00A34C23"/>
    <w:pPr>
      <w:jc w:val="center"/>
      <w:textAlignment w:val="baseline"/>
    </w:pPr>
    <w:rPr>
      <w:rFonts w:ascii="Arial" w:eastAsia="Calibri" w:hAnsi="Arial"/>
      <w:bCs/>
      <w:sz w:val="18"/>
      <w:szCs w:val="18"/>
    </w:rPr>
  </w:style>
  <w:style w:type="character" w:styleId="Hipervnculo">
    <w:name w:val="Hyperlink"/>
    <w:basedOn w:val="Fuentedeprrafopredeter"/>
    <w:uiPriority w:val="99"/>
    <w:unhideWhenUsed/>
    <w:rsid w:val="00670A40"/>
    <w:rPr>
      <w:color w:val="0000FF" w:themeColor="hyperlink"/>
      <w:u w:val="single"/>
    </w:rPr>
  </w:style>
  <w:style w:type="paragraph" w:styleId="Revisin">
    <w:name w:val="Revision"/>
    <w:hidden/>
    <w:uiPriority w:val="99"/>
    <w:semiHidden/>
    <w:rsid w:val="003C1E4D"/>
  </w:style>
  <w:style w:type="character" w:customStyle="1" w:styleId="Mencinsinresolver1">
    <w:name w:val="Mención sin resolver1"/>
    <w:basedOn w:val="Fuentedeprrafopredeter"/>
    <w:uiPriority w:val="99"/>
    <w:semiHidden/>
    <w:unhideWhenUsed/>
    <w:rsid w:val="005E4556"/>
    <w:rPr>
      <w:color w:val="605E5C"/>
      <w:shd w:val="clear" w:color="auto" w:fill="E1DFDD"/>
    </w:rPr>
  </w:style>
  <w:style w:type="character" w:styleId="Hipervnculovisitado">
    <w:name w:val="FollowedHyperlink"/>
    <w:basedOn w:val="Fuentedeprrafopredeter"/>
    <w:uiPriority w:val="99"/>
    <w:semiHidden/>
    <w:unhideWhenUsed/>
    <w:rsid w:val="00CC0F1F"/>
    <w:rPr>
      <w:color w:val="800080" w:themeColor="followedHyperlink"/>
      <w:u w:val="single"/>
    </w:rPr>
  </w:style>
  <w:style w:type="character" w:customStyle="1" w:styleId="Ttulo1Car">
    <w:name w:val="Título 1 Car"/>
    <w:basedOn w:val="Fuentedeprrafopredeter"/>
    <w:link w:val="Ttulo1"/>
    <w:uiPriority w:val="9"/>
    <w:rsid w:val="006F7C19"/>
    <w:rPr>
      <w:rFonts w:asciiTheme="majorHAnsi" w:eastAsiaTheme="majorEastAsia" w:hAnsiTheme="majorHAnsi" w:cstheme="majorBidi"/>
      <w:color w:val="365F91" w:themeColor="accent1" w:themeShade="BF"/>
      <w:sz w:val="32"/>
      <w:szCs w:val="32"/>
      <w:lang w:val="es-ES_tradnl" w:eastAsia="es-CO"/>
    </w:rPr>
  </w:style>
  <w:style w:type="character" w:customStyle="1" w:styleId="Ttulo2Car">
    <w:name w:val="Título 2 Car"/>
    <w:basedOn w:val="Fuentedeprrafopredeter"/>
    <w:link w:val="Ttulo2"/>
    <w:uiPriority w:val="9"/>
    <w:rsid w:val="006F7C19"/>
    <w:rPr>
      <w:rFonts w:asciiTheme="majorHAnsi" w:eastAsiaTheme="majorEastAsia" w:hAnsiTheme="majorHAnsi" w:cstheme="majorBidi"/>
      <w:color w:val="365F91" w:themeColor="accent1" w:themeShade="BF"/>
      <w:sz w:val="26"/>
      <w:szCs w:val="26"/>
      <w:lang w:val="es-ES_tradnl" w:eastAsia="es-CO"/>
    </w:rPr>
  </w:style>
  <w:style w:type="character" w:customStyle="1" w:styleId="Ttulo3Car">
    <w:name w:val="Título 3 Car"/>
    <w:basedOn w:val="Fuentedeprrafopredeter"/>
    <w:link w:val="Ttulo3"/>
    <w:uiPriority w:val="9"/>
    <w:semiHidden/>
    <w:rsid w:val="006F7C19"/>
    <w:rPr>
      <w:rFonts w:asciiTheme="majorHAnsi" w:eastAsiaTheme="majorEastAsia" w:hAnsiTheme="majorHAnsi" w:cstheme="majorBidi"/>
      <w:color w:val="243F60" w:themeColor="accent1" w:themeShade="7F"/>
      <w:sz w:val="24"/>
      <w:szCs w:val="24"/>
      <w:lang w:val="es-ES_tradnl" w:eastAsia="es-CO"/>
    </w:rPr>
  </w:style>
  <w:style w:type="character" w:styleId="Textoennegrita">
    <w:name w:val="Strong"/>
    <w:basedOn w:val="Fuentedeprrafopredeter"/>
    <w:uiPriority w:val="22"/>
    <w:qFormat/>
    <w:rsid w:val="006F7C19"/>
    <w:rPr>
      <w:b/>
      <w:bCs/>
    </w:rPr>
  </w:style>
  <w:style w:type="character" w:styleId="nfasis">
    <w:name w:val="Emphasis"/>
    <w:basedOn w:val="Fuentedeprrafopredeter"/>
    <w:uiPriority w:val="20"/>
    <w:qFormat/>
    <w:rsid w:val="006F7C19"/>
    <w:rPr>
      <w:i/>
      <w:iCs/>
    </w:rPr>
  </w:style>
  <w:style w:type="table" w:customStyle="1" w:styleId="4">
    <w:name w:val="4"/>
    <w:basedOn w:val="Tablanormal"/>
    <w:rsid w:val="00A15CBF"/>
    <w:tblPr>
      <w:tblStyleRowBandSize w:val="1"/>
      <w:tblStyleColBandSize w:val="1"/>
      <w:tblInd w:w="0" w:type="nil"/>
      <w:tblCellMar>
        <w:top w:w="100" w:type="dxa"/>
        <w:left w:w="115" w:type="dxa"/>
        <w:bottom w:w="100" w:type="dxa"/>
        <w:right w:w="115" w:type="dxa"/>
      </w:tblCellMar>
    </w:tblPr>
  </w:style>
  <w:style w:type="table" w:customStyle="1" w:styleId="3">
    <w:name w:val="3"/>
    <w:basedOn w:val="Tablanormal"/>
    <w:rsid w:val="00A15CBF"/>
    <w:tblPr>
      <w:tblStyleRowBandSize w:val="1"/>
      <w:tblStyleColBandSize w:val="1"/>
      <w:tblInd w:w="0" w:type="nil"/>
      <w:tblCellMar>
        <w:top w:w="100" w:type="dxa"/>
        <w:left w:w="115" w:type="dxa"/>
        <w:bottom w:w="100" w:type="dxa"/>
        <w:right w:w="115" w:type="dxa"/>
      </w:tblCellMar>
    </w:tblPr>
  </w:style>
  <w:style w:type="table" w:customStyle="1" w:styleId="13">
    <w:name w:val="13"/>
    <w:basedOn w:val="Tablanormal"/>
    <w:rsid w:val="002B394C"/>
    <w:tblPr>
      <w:tblStyleRowBandSize w:val="1"/>
      <w:tblStyleColBandSize w:val="1"/>
      <w:tblInd w:w="0" w:type="nil"/>
      <w:tblCellMar>
        <w:top w:w="100" w:type="dxa"/>
        <w:left w:w="115" w:type="dxa"/>
        <w:bottom w:w="100" w:type="dxa"/>
        <w:right w:w="115"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67738">
      <w:bodyDiv w:val="1"/>
      <w:marLeft w:val="0"/>
      <w:marRight w:val="0"/>
      <w:marTop w:val="0"/>
      <w:marBottom w:val="0"/>
      <w:divBdr>
        <w:top w:val="none" w:sz="0" w:space="0" w:color="auto"/>
        <w:left w:val="none" w:sz="0" w:space="0" w:color="auto"/>
        <w:bottom w:val="none" w:sz="0" w:space="0" w:color="auto"/>
        <w:right w:val="none" w:sz="0" w:space="0" w:color="auto"/>
      </w:divBdr>
    </w:div>
    <w:div w:id="568461282">
      <w:bodyDiv w:val="1"/>
      <w:marLeft w:val="0"/>
      <w:marRight w:val="0"/>
      <w:marTop w:val="0"/>
      <w:marBottom w:val="0"/>
      <w:divBdr>
        <w:top w:val="none" w:sz="0" w:space="0" w:color="auto"/>
        <w:left w:val="none" w:sz="0" w:space="0" w:color="auto"/>
        <w:bottom w:val="none" w:sz="0" w:space="0" w:color="auto"/>
        <w:right w:val="none" w:sz="0" w:space="0" w:color="auto"/>
      </w:divBdr>
    </w:div>
    <w:div w:id="1296570895">
      <w:bodyDiv w:val="1"/>
      <w:marLeft w:val="0"/>
      <w:marRight w:val="0"/>
      <w:marTop w:val="0"/>
      <w:marBottom w:val="0"/>
      <w:divBdr>
        <w:top w:val="none" w:sz="0" w:space="0" w:color="auto"/>
        <w:left w:val="none" w:sz="0" w:space="0" w:color="auto"/>
        <w:bottom w:val="none" w:sz="0" w:space="0" w:color="auto"/>
        <w:right w:val="none" w:sz="0" w:space="0" w:color="auto"/>
      </w:divBdr>
    </w:div>
    <w:div w:id="1463842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dep.edu.co/?q=node/38" TargetMode="External"/><Relationship Id="rId13" Type="http://schemas.openxmlformats.org/officeDocument/2006/relationships/hyperlink" Target="http://www.idep.edu.co/?q=es/content/otros-procedimientos-administrativos" TargetMode="External"/><Relationship Id="rId18" Type="http://schemas.openxmlformats.org/officeDocument/2006/relationships/hyperlink" Target="http://www.idep.edu.co/?q=menu-transparenci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idep.edu.co/sites/default/files/PORTAFOLIO%20IDEP%202022_V3_12%20Sept%202022.pdf" TargetMode="External"/><Relationship Id="rId17" Type="http://schemas.openxmlformats.org/officeDocument/2006/relationships/hyperlink" Target="http://www.idep.edu.co/?q=content/informe-de-gestion" TargetMode="External"/><Relationship Id="rId2" Type="http://schemas.openxmlformats.org/officeDocument/2006/relationships/numbering" Target="numbering.xml"/><Relationship Id="rId16" Type="http://schemas.openxmlformats.org/officeDocument/2006/relationships/hyperlink" Target="http://www.bogota.gov.co/sdqs" TargetMode="External"/><Relationship Id="rId20" Type="http://schemas.openxmlformats.org/officeDocument/2006/relationships/hyperlink" Target="http://www.idep.edu.co/?q=es/node/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dep.edu.co/?q=menu-transparenci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gota.gov.co/sdqs"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idep.edu.co/?q=es/node/32"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idep.edu.co/"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0N4Jd3Bt3p1ivHl8TjFWaZHo2Q==">AMUW2mWcRaoffr3Lo7H+MFaf6b5R2bjaWIyDG4EwwxiV9GlPgLKqY7gNSMPozlRVeOBFj97SNxCMzgtJR7XlxBXiyozmyiviCbRCxdEa1EimLC4/2Ifag48=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1811</Words>
  <Characters>9961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Francy Milena López García</dc:creator>
  <cp:lastModifiedBy>IDEP</cp:lastModifiedBy>
  <cp:revision>13</cp:revision>
  <cp:lastPrinted>2023-03-29T23:29:00Z</cp:lastPrinted>
  <dcterms:created xsi:type="dcterms:W3CDTF">2023-03-29T23:19:00Z</dcterms:created>
  <dcterms:modified xsi:type="dcterms:W3CDTF">2023-03-29T23:33:00Z</dcterms:modified>
</cp:coreProperties>
</file>