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EAE3A" w14:textId="77777777" w:rsidR="000C632F" w:rsidRPr="00AC62FB" w:rsidRDefault="000C632F" w:rsidP="000C632F">
      <w:pPr>
        <w:jc w:val="center"/>
        <w:rPr>
          <w:rFonts w:cs="Arial"/>
          <w:b/>
          <w:szCs w:val="24"/>
        </w:rPr>
      </w:pPr>
      <w:bookmarkStart w:id="0" w:name="_Hlk74303733"/>
      <w:r w:rsidRPr="00AC62FB">
        <w:rPr>
          <w:rFonts w:cs="Arial"/>
          <w:b/>
          <w:szCs w:val="24"/>
        </w:rPr>
        <w:t>INSTITUTO PARA LA INVESTIGACIÓN EDUCATIVA Y EL DESARROLLO PEDAGOGICO – IDEP</w:t>
      </w:r>
    </w:p>
    <w:p w14:paraId="219EC089" w14:textId="77777777" w:rsidR="000C632F" w:rsidRPr="00AC62FB" w:rsidRDefault="000C632F" w:rsidP="000C632F">
      <w:pPr>
        <w:jc w:val="center"/>
        <w:rPr>
          <w:rFonts w:cs="Arial"/>
          <w:b/>
          <w:szCs w:val="24"/>
        </w:rPr>
      </w:pPr>
    </w:p>
    <w:p w14:paraId="624D1CF6" w14:textId="77777777" w:rsidR="000C632F" w:rsidRPr="00AC62FB" w:rsidRDefault="000C632F" w:rsidP="000C632F">
      <w:pPr>
        <w:jc w:val="center"/>
        <w:rPr>
          <w:rFonts w:cs="Arial"/>
          <w:b/>
          <w:szCs w:val="24"/>
        </w:rPr>
      </w:pPr>
    </w:p>
    <w:p w14:paraId="435CF75D" w14:textId="77777777" w:rsidR="000C632F" w:rsidRPr="00AC62FB" w:rsidRDefault="000C632F" w:rsidP="000C632F">
      <w:pPr>
        <w:jc w:val="center"/>
        <w:rPr>
          <w:rFonts w:cs="Arial"/>
          <w:b/>
          <w:szCs w:val="24"/>
        </w:rPr>
      </w:pPr>
    </w:p>
    <w:p w14:paraId="608A7723" w14:textId="77777777" w:rsidR="000C632F" w:rsidRPr="00AC62FB" w:rsidRDefault="000C632F" w:rsidP="000C632F">
      <w:pPr>
        <w:jc w:val="center"/>
        <w:rPr>
          <w:rFonts w:cs="Arial"/>
          <w:b/>
          <w:szCs w:val="24"/>
        </w:rPr>
      </w:pPr>
    </w:p>
    <w:p w14:paraId="3B095713" w14:textId="77777777" w:rsidR="000C632F" w:rsidRPr="00AC62FB" w:rsidRDefault="000C632F" w:rsidP="000C632F">
      <w:pPr>
        <w:jc w:val="center"/>
        <w:rPr>
          <w:rFonts w:cs="Arial"/>
          <w:b/>
          <w:szCs w:val="24"/>
        </w:rPr>
      </w:pPr>
    </w:p>
    <w:p w14:paraId="705E5A2D" w14:textId="77777777" w:rsidR="000C632F" w:rsidRPr="00AC62FB" w:rsidRDefault="000C632F" w:rsidP="000C632F">
      <w:pPr>
        <w:jc w:val="center"/>
        <w:rPr>
          <w:rFonts w:cs="Arial"/>
          <w:b/>
          <w:szCs w:val="24"/>
        </w:rPr>
      </w:pPr>
    </w:p>
    <w:p w14:paraId="6EB66E3A" w14:textId="77777777" w:rsidR="000C632F" w:rsidRPr="00AC62FB" w:rsidRDefault="000C632F" w:rsidP="000C632F">
      <w:pPr>
        <w:jc w:val="center"/>
        <w:rPr>
          <w:rFonts w:cs="Arial"/>
          <w:b/>
          <w:szCs w:val="24"/>
        </w:rPr>
      </w:pPr>
    </w:p>
    <w:p w14:paraId="67AF86E7" w14:textId="77777777" w:rsidR="000C632F" w:rsidRPr="00AC62FB" w:rsidRDefault="000C632F" w:rsidP="000C632F">
      <w:pPr>
        <w:jc w:val="center"/>
        <w:rPr>
          <w:rFonts w:cs="Arial"/>
          <w:b/>
          <w:szCs w:val="24"/>
        </w:rPr>
      </w:pPr>
    </w:p>
    <w:p w14:paraId="53D7320B" w14:textId="77777777" w:rsidR="000C632F" w:rsidRPr="00AC62FB" w:rsidRDefault="000C632F" w:rsidP="000C632F">
      <w:pPr>
        <w:jc w:val="center"/>
        <w:rPr>
          <w:rFonts w:cs="Arial"/>
          <w:b/>
          <w:szCs w:val="24"/>
        </w:rPr>
      </w:pPr>
      <w:r w:rsidRPr="00AC62FB">
        <w:rPr>
          <w:rFonts w:cs="Arial"/>
          <w:b/>
          <w:szCs w:val="24"/>
        </w:rPr>
        <w:t xml:space="preserve">INFORME DE </w:t>
      </w:r>
      <w:r>
        <w:rPr>
          <w:rFonts w:cs="Arial"/>
          <w:b/>
          <w:szCs w:val="24"/>
        </w:rPr>
        <w:t xml:space="preserve">SEGUIMIENTO AL PLAN DE SOSTENIBILIDAD CONTABLE </w:t>
      </w:r>
    </w:p>
    <w:p w14:paraId="01A7BFF1" w14:textId="77777777" w:rsidR="000C632F" w:rsidRPr="00AC62FB" w:rsidRDefault="000C632F" w:rsidP="000C632F">
      <w:pPr>
        <w:jc w:val="center"/>
        <w:rPr>
          <w:rFonts w:cs="Arial"/>
          <w:b/>
          <w:szCs w:val="24"/>
        </w:rPr>
      </w:pPr>
    </w:p>
    <w:p w14:paraId="1B7B4244" w14:textId="77777777" w:rsidR="000C632F" w:rsidRPr="00AC62FB" w:rsidRDefault="000C632F" w:rsidP="000C632F">
      <w:pPr>
        <w:jc w:val="center"/>
        <w:rPr>
          <w:rFonts w:cs="Arial"/>
          <w:b/>
          <w:szCs w:val="24"/>
        </w:rPr>
      </w:pPr>
    </w:p>
    <w:p w14:paraId="62A9E9A4" w14:textId="77777777" w:rsidR="000C632F" w:rsidRPr="00AC62FB" w:rsidRDefault="000C632F" w:rsidP="000C632F">
      <w:pPr>
        <w:jc w:val="center"/>
        <w:rPr>
          <w:rFonts w:cs="Arial"/>
          <w:b/>
          <w:szCs w:val="24"/>
        </w:rPr>
      </w:pPr>
    </w:p>
    <w:p w14:paraId="2B753419" w14:textId="77777777" w:rsidR="000C632F" w:rsidRPr="00AC62FB" w:rsidRDefault="000C632F" w:rsidP="000C632F">
      <w:pPr>
        <w:jc w:val="center"/>
        <w:rPr>
          <w:rFonts w:cs="Arial"/>
          <w:b/>
          <w:szCs w:val="24"/>
        </w:rPr>
      </w:pPr>
    </w:p>
    <w:p w14:paraId="4A5C7A73" w14:textId="77777777" w:rsidR="000C632F" w:rsidRPr="00AC62FB" w:rsidRDefault="000C632F" w:rsidP="000C632F">
      <w:pPr>
        <w:jc w:val="center"/>
        <w:rPr>
          <w:rFonts w:cs="Arial"/>
          <w:b/>
          <w:szCs w:val="24"/>
        </w:rPr>
      </w:pPr>
    </w:p>
    <w:p w14:paraId="58D25FAC" w14:textId="77777777" w:rsidR="000C632F" w:rsidRPr="00AC62FB" w:rsidRDefault="000C632F" w:rsidP="000C632F">
      <w:pPr>
        <w:jc w:val="center"/>
        <w:rPr>
          <w:rFonts w:cs="Arial"/>
          <w:b/>
          <w:szCs w:val="24"/>
        </w:rPr>
      </w:pPr>
    </w:p>
    <w:p w14:paraId="19AD37C8" w14:textId="77777777" w:rsidR="000C632F" w:rsidRPr="00AC62FB" w:rsidRDefault="000C632F" w:rsidP="000C632F">
      <w:pPr>
        <w:jc w:val="center"/>
        <w:rPr>
          <w:rFonts w:cs="Arial"/>
          <w:b/>
          <w:szCs w:val="24"/>
        </w:rPr>
      </w:pPr>
    </w:p>
    <w:p w14:paraId="2541B585" w14:textId="77777777" w:rsidR="000C632F" w:rsidRPr="00AC62FB" w:rsidRDefault="000C632F" w:rsidP="000C632F">
      <w:pPr>
        <w:jc w:val="center"/>
        <w:rPr>
          <w:rFonts w:cs="Arial"/>
          <w:b/>
          <w:szCs w:val="24"/>
        </w:rPr>
      </w:pPr>
    </w:p>
    <w:p w14:paraId="64DD7C31" w14:textId="77777777" w:rsidR="000C632F" w:rsidRPr="00AC62FB" w:rsidRDefault="000C632F" w:rsidP="000C632F">
      <w:pPr>
        <w:jc w:val="center"/>
        <w:rPr>
          <w:rFonts w:cs="Arial"/>
          <w:b/>
          <w:szCs w:val="24"/>
        </w:rPr>
      </w:pPr>
      <w:r w:rsidRPr="00AC62FB">
        <w:rPr>
          <w:rFonts w:cs="Arial"/>
          <w:b/>
          <w:szCs w:val="24"/>
        </w:rPr>
        <w:t>OFICINA DE CONTROL INTERNO</w:t>
      </w:r>
    </w:p>
    <w:p w14:paraId="1FF24B94" w14:textId="7221DDB4" w:rsidR="000C632F" w:rsidRPr="00AC62FB" w:rsidRDefault="000C632F" w:rsidP="000C632F">
      <w:pPr>
        <w:jc w:val="center"/>
        <w:rPr>
          <w:rFonts w:cs="Arial"/>
          <w:szCs w:val="24"/>
        </w:rPr>
      </w:pPr>
      <w:r w:rsidRPr="00AC62FB">
        <w:rPr>
          <w:rFonts w:cs="Arial"/>
          <w:b/>
          <w:szCs w:val="24"/>
        </w:rPr>
        <w:t xml:space="preserve">Bogotá, D.C. </w:t>
      </w:r>
      <w:r w:rsidR="006D4628">
        <w:rPr>
          <w:rFonts w:cs="Arial"/>
          <w:b/>
          <w:szCs w:val="24"/>
        </w:rPr>
        <w:t xml:space="preserve">junio de </w:t>
      </w:r>
      <w:r w:rsidR="00E74245">
        <w:rPr>
          <w:rFonts w:cs="Arial"/>
          <w:b/>
          <w:szCs w:val="24"/>
        </w:rPr>
        <w:t>2021</w:t>
      </w:r>
    </w:p>
    <w:p w14:paraId="2D4A3632" w14:textId="77777777" w:rsidR="000C632F" w:rsidRPr="00AC62FB" w:rsidRDefault="000C632F" w:rsidP="000C632F">
      <w:pPr>
        <w:jc w:val="center"/>
        <w:rPr>
          <w:rFonts w:cs="Arial"/>
          <w:b/>
          <w:szCs w:val="24"/>
        </w:rPr>
      </w:pPr>
    </w:p>
    <w:p w14:paraId="130DF64E" w14:textId="77777777" w:rsidR="000C632F" w:rsidRDefault="000C632F" w:rsidP="000C632F">
      <w:pPr>
        <w:pStyle w:val="Prrafodelista"/>
        <w:jc w:val="center"/>
        <w:rPr>
          <w:rFonts w:cs="Arial"/>
          <w:b/>
          <w:szCs w:val="24"/>
        </w:rPr>
      </w:pPr>
    </w:p>
    <w:p w14:paraId="19AED585" w14:textId="77777777" w:rsidR="00911144" w:rsidRDefault="00911144" w:rsidP="000C632F">
      <w:pPr>
        <w:pStyle w:val="Prrafodelista"/>
        <w:jc w:val="center"/>
        <w:rPr>
          <w:rFonts w:cs="Arial"/>
          <w:b/>
          <w:szCs w:val="24"/>
        </w:rPr>
      </w:pPr>
    </w:p>
    <w:p w14:paraId="63421838" w14:textId="77777777" w:rsidR="00911144" w:rsidRDefault="00911144" w:rsidP="000C632F">
      <w:pPr>
        <w:pStyle w:val="Prrafodelista"/>
        <w:jc w:val="center"/>
        <w:rPr>
          <w:rFonts w:cs="Arial"/>
          <w:b/>
          <w:szCs w:val="24"/>
        </w:rPr>
      </w:pPr>
    </w:p>
    <w:p w14:paraId="79A8126D" w14:textId="1560CF97" w:rsidR="000C632F" w:rsidRDefault="000C632F" w:rsidP="000C632F">
      <w:pPr>
        <w:pStyle w:val="Prrafodelista"/>
        <w:jc w:val="center"/>
        <w:rPr>
          <w:rFonts w:cs="Arial"/>
          <w:b/>
          <w:szCs w:val="24"/>
        </w:rPr>
      </w:pPr>
      <w:r w:rsidRPr="00F20598">
        <w:rPr>
          <w:rFonts w:cs="Arial"/>
          <w:b/>
          <w:szCs w:val="24"/>
        </w:rPr>
        <w:t>INFORME DE SEGUIMIENTO AL</w:t>
      </w:r>
      <w:r w:rsidR="00022002">
        <w:rPr>
          <w:rFonts w:cs="Arial"/>
          <w:b/>
          <w:szCs w:val="24"/>
        </w:rPr>
        <w:t xml:space="preserve"> PLAN DE SOSTENIBILIDAD CONTABLE CON CORTE AL MES DE ABRIL DE 202</w:t>
      </w:r>
      <w:r w:rsidR="008B0249">
        <w:rPr>
          <w:rFonts w:cs="Arial"/>
          <w:b/>
          <w:szCs w:val="24"/>
        </w:rPr>
        <w:t>1</w:t>
      </w:r>
      <w:r w:rsidR="00022002">
        <w:rPr>
          <w:rFonts w:cs="Arial"/>
          <w:b/>
          <w:szCs w:val="24"/>
        </w:rPr>
        <w:t xml:space="preserve">. </w:t>
      </w:r>
      <w:r w:rsidRPr="00F20598">
        <w:rPr>
          <w:rFonts w:cs="Arial"/>
          <w:b/>
          <w:szCs w:val="24"/>
        </w:rPr>
        <w:t xml:space="preserve"> </w:t>
      </w:r>
    </w:p>
    <w:p w14:paraId="3FD7E9FE" w14:textId="77777777" w:rsidR="00022002" w:rsidRPr="00750BFD" w:rsidRDefault="00022002" w:rsidP="000C632F">
      <w:pPr>
        <w:pStyle w:val="Prrafodelista"/>
        <w:jc w:val="center"/>
        <w:rPr>
          <w:rFonts w:cs="Arial"/>
          <w:b/>
          <w:szCs w:val="24"/>
        </w:rPr>
      </w:pPr>
    </w:p>
    <w:p w14:paraId="59387BA1" w14:textId="77777777" w:rsidR="000C632F" w:rsidRPr="00750BFD" w:rsidRDefault="000C632F" w:rsidP="000C632F">
      <w:pPr>
        <w:pStyle w:val="Ttulo1"/>
        <w:numPr>
          <w:ilvl w:val="0"/>
          <w:numId w:val="1"/>
        </w:numPr>
        <w:rPr>
          <w:rFonts w:ascii="Arial" w:hAnsi="Arial" w:cs="Arial"/>
          <w:b/>
          <w:color w:val="auto"/>
          <w:sz w:val="24"/>
          <w:szCs w:val="24"/>
        </w:rPr>
      </w:pPr>
      <w:r w:rsidRPr="00750BFD">
        <w:rPr>
          <w:rFonts w:ascii="Arial" w:hAnsi="Arial" w:cs="Arial"/>
          <w:b/>
          <w:color w:val="auto"/>
          <w:sz w:val="24"/>
          <w:szCs w:val="24"/>
        </w:rPr>
        <w:t>OBJETIVO.</w:t>
      </w:r>
    </w:p>
    <w:p w14:paraId="2D46744F" w14:textId="77777777" w:rsidR="006D4628" w:rsidRPr="00750BFD" w:rsidRDefault="006D4628" w:rsidP="009927B2"/>
    <w:p w14:paraId="7D04C811" w14:textId="19623AE7" w:rsidR="009927B2" w:rsidRPr="00750BFD" w:rsidRDefault="009927B2" w:rsidP="009927B2">
      <w:r w:rsidRPr="00750BFD">
        <w:t xml:space="preserve">Realizar seguimiento al </w:t>
      </w:r>
      <w:r w:rsidR="004323C0" w:rsidRPr="00750BFD">
        <w:t xml:space="preserve">cumplimiento de las actividades documentadas en el </w:t>
      </w:r>
      <w:r w:rsidRPr="00750BFD">
        <w:t>plan de sostenibilidad Contable corte a abril de 202</w:t>
      </w:r>
      <w:r w:rsidR="00E74245" w:rsidRPr="00750BFD">
        <w:t>1</w:t>
      </w:r>
      <w:r w:rsidRPr="00750BFD">
        <w:t>, con el fin de verificar el avance presentado y cumplimiento de controles establecidos</w:t>
      </w:r>
      <w:r w:rsidR="002557F1" w:rsidRPr="00750BFD">
        <w:t>.</w:t>
      </w:r>
    </w:p>
    <w:p w14:paraId="3B7C3A73" w14:textId="77777777" w:rsidR="002557F1" w:rsidRPr="00750BFD" w:rsidRDefault="000C632F" w:rsidP="002557F1">
      <w:pPr>
        <w:pStyle w:val="Prrafodelista"/>
        <w:numPr>
          <w:ilvl w:val="0"/>
          <w:numId w:val="1"/>
        </w:numPr>
        <w:rPr>
          <w:rFonts w:cs="Arial"/>
          <w:b/>
          <w:szCs w:val="24"/>
        </w:rPr>
      </w:pPr>
      <w:r w:rsidRPr="00750BFD">
        <w:rPr>
          <w:rFonts w:cs="Arial"/>
          <w:b/>
          <w:szCs w:val="24"/>
        </w:rPr>
        <w:t>ALCANCE.</w:t>
      </w:r>
    </w:p>
    <w:p w14:paraId="00C292C4" w14:textId="77777777" w:rsidR="001839A0" w:rsidRPr="00750BFD" w:rsidRDefault="001244FD" w:rsidP="001839A0">
      <w:r w:rsidRPr="00750BFD">
        <w:t>El seguimiento está orientado a verificar el cumplimiento de las actividades descritas en el plan de sostenibilidad con corte al 30 de abril de 202</w:t>
      </w:r>
      <w:r w:rsidR="00E74245" w:rsidRPr="00750BFD">
        <w:t>1</w:t>
      </w:r>
      <w:r w:rsidR="001839A0" w:rsidRPr="00750BFD">
        <w:t>, de los siguientes aspectos:</w:t>
      </w:r>
    </w:p>
    <w:p w14:paraId="4BEB679E" w14:textId="785C4728" w:rsidR="001839A0" w:rsidRPr="00750BFD" w:rsidRDefault="001839A0" w:rsidP="001839A0">
      <w:pPr>
        <w:pStyle w:val="Prrafodelista"/>
        <w:numPr>
          <w:ilvl w:val="0"/>
          <w:numId w:val="11"/>
        </w:numPr>
      </w:pPr>
      <w:r w:rsidRPr="00750BFD">
        <w:t>Conciliaciones bancarias.</w:t>
      </w:r>
    </w:p>
    <w:p w14:paraId="5D80A13B" w14:textId="4F6E3EDC" w:rsidR="001839A0" w:rsidRPr="00750BFD" w:rsidRDefault="001839A0" w:rsidP="001839A0">
      <w:pPr>
        <w:pStyle w:val="Prrafodelista"/>
        <w:numPr>
          <w:ilvl w:val="0"/>
          <w:numId w:val="11"/>
        </w:numPr>
      </w:pPr>
      <w:r w:rsidRPr="00750BFD">
        <w:t>Efectivo y equivalentes al efectivo</w:t>
      </w:r>
    </w:p>
    <w:p w14:paraId="536E4B06" w14:textId="2CE640B9" w:rsidR="001839A0" w:rsidRPr="00750BFD" w:rsidRDefault="001839A0" w:rsidP="001839A0">
      <w:pPr>
        <w:pStyle w:val="Prrafodelista"/>
        <w:numPr>
          <w:ilvl w:val="0"/>
          <w:numId w:val="11"/>
        </w:numPr>
      </w:pPr>
      <w:r w:rsidRPr="00750BFD">
        <w:t>Incapacidades</w:t>
      </w:r>
    </w:p>
    <w:p w14:paraId="184DBBF9" w14:textId="794F2709" w:rsidR="001839A0" w:rsidRPr="00750BFD" w:rsidRDefault="001839A0" w:rsidP="001839A0">
      <w:pPr>
        <w:pStyle w:val="Prrafodelista"/>
        <w:numPr>
          <w:ilvl w:val="0"/>
          <w:numId w:val="11"/>
        </w:numPr>
      </w:pPr>
      <w:r w:rsidRPr="00750BFD">
        <w:t xml:space="preserve">Inventarios </w:t>
      </w:r>
    </w:p>
    <w:p w14:paraId="6C997A47" w14:textId="10865273" w:rsidR="001839A0" w:rsidRPr="00750BFD" w:rsidRDefault="001839A0" w:rsidP="001839A0">
      <w:pPr>
        <w:pStyle w:val="Prrafodelista"/>
        <w:numPr>
          <w:ilvl w:val="0"/>
          <w:numId w:val="11"/>
        </w:numPr>
      </w:pPr>
      <w:r w:rsidRPr="00750BFD">
        <w:t>Propiedad, planta, equipo e intangibles.</w:t>
      </w:r>
    </w:p>
    <w:p w14:paraId="653C2ADE" w14:textId="151ADDE5" w:rsidR="001839A0" w:rsidRPr="00750BFD" w:rsidRDefault="001839A0" w:rsidP="001839A0">
      <w:pPr>
        <w:pStyle w:val="Prrafodelista"/>
        <w:numPr>
          <w:ilvl w:val="0"/>
          <w:numId w:val="11"/>
        </w:numPr>
      </w:pPr>
      <w:r w:rsidRPr="00750BFD">
        <w:t xml:space="preserve">Beneficios a empleados. </w:t>
      </w:r>
    </w:p>
    <w:p w14:paraId="42BF523D" w14:textId="75486CCA" w:rsidR="001839A0" w:rsidRPr="00750BFD" w:rsidRDefault="001839A0" w:rsidP="001839A0">
      <w:pPr>
        <w:pStyle w:val="Prrafodelista"/>
        <w:numPr>
          <w:ilvl w:val="0"/>
          <w:numId w:val="11"/>
        </w:numPr>
      </w:pPr>
      <w:r w:rsidRPr="00750BFD">
        <w:t xml:space="preserve">Activos y pasivos contingentes. </w:t>
      </w:r>
    </w:p>
    <w:p w14:paraId="76826ACE" w14:textId="30A51974" w:rsidR="001839A0" w:rsidRPr="00750BFD" w:rsidRDefault="001839A0" w:rsidP="001839A0">
      <w:pPr>
        <w:pStyle w:val="Prrafodelista"/>
        <w:numPr>
          <w:ilvl w:val="0"/>
          <w:numId w:val="11"/>
        </w:numPr>
      </w:pPr>
      <w:r w:rsidRPr="00750BFD">
        <w:t>Cuentas por pagar a tesorería.</w:t>
      </w:r>
    </w:p>
    <w:p w14:paraId="48CE4118" w14:textId="6F9EE93C" w:rsidR="001839A0" w:rsidRPr="00750BFD" w:rsidRDefault="001839A0" w:rsidP="001839A0">
      <w:pPr>
        <w:pStyle w:val="Prrafodelista"/>
        <w:numPr>
          <w:ilvl w:val="0"/>
          <w:numId w:val="11"/>
        </w:numPr>
      </w:pPr>
      <w:r w:rsidRPr="00750BFD">
        <w:t xml:space="preserve">Ejecuciones presupuestales. </w:t>
      </w:r>
    </w:p>
    <w:p w14:paraId="3E669955" w14:textId="23AD7989" w:rsidR="003D6458" w:rsidRPr="00750BFD" w:rsidRDefault="003D6458" w:rsidP="001839A0">
      <w:pPr>
        <w:pStyle w:val="Prrafodelista"/>
        <w:numPr>
          <w:ilvl w:val="0"/>
          <w:numId w:val="11"/>
        </w:numPr>
      </w:pPr>
      <w:r w:rsidRPr="00750BFD">
        <w:t xml:space="preserve">Comité </w:t>
      </w:r>
      <w:r w:rsidR="00750BFD" w:rsidRPr="00750BFD">
        <w:t xml:space="preserve">Técnico de </w:t>
      </w:r>
      <w:r w:rsidRPr="00750BFD">
        <w:t xml:space="preserve">Sostenibilidad </w:t>
      </w:r>
      <w:r w:rsidR="00750BFD" w:rsidRPr="00750BFD">
        <w:t>Contable</w:t>
      </w:r>
    </w:p>
    <w:p w14:paraId="1AABCB2E" w14:textId="77777777" w:rsidR="000C632F" w:rsidRDefault="000C632F" w:rsidP="000C632F">
      <w:pPr>
        <w:pStyle w:val="Default"/>
        <w:rPr>
          <w:b/>
          <w:bCs/>
          <w:color w:val="auto"/>
        </w:rPr>
      </w:pPr>
    </w:p>
    <w:p w14:paraId="4B9E69EB" w14:textId="77777777" w:rsidR="000C632F" w:rsidRPr="00750BFD" w:rsidRDefault="001244FD" w:rsidP="000C632F">
      <w:pPr>
        <w:pStyle w:val="Default"/>
        <w:numPr>
          <w:ilvl w:val="0"/>
          <w:numId w:val="1"/>
        </w:numPr>
        <w:ind w:hanging="294"/>
        <w:rPr>
          <w:b/>
          <w:bCs/>
          <w:color w:val="auto"/>
        </w:rPr>
      </w:pPr>
      <w:r w:rsidRPr="00750BFD">
        <w:rPr>
          <w:b/>
          <w:bCs/>
          <w:color w:val="auto"/>
        </w:rPr>
        <w:t>C</w:t>
      </w:r>
      <w:r w:rsidR="000C632F" w:rsidRPr="00750BFD">
        <w:rPr>
          <w:b/>
          <w:bCs/>
          <w:color w:val="auto"/>
        </w:rPr>
        <w:t xml:space="preserve">RITERIOS DE AUDITORIA: </w:t>
      </w:r>
    </w:p>
    <w:p w14:paraId="17523DC8" w14:textId="77777777" w:rsidR="000C632F" w:rsidRPr="00750BFD" w:rsidRDefault="000C632F" w:rsidP="000C632F">
      <w:pPr>
        <w:pStyle w:val="Prrafodelista"/>
        <w:rPr>
          <w:rFonts w:cs="Arial"/>
          <w:b/>
          <w:szCs w:val="24"/>
        </w:rPr>
      </w:pPr>
    </w:p>
    <w:p w14:paraId="4918DA3A" w14:textId="77777777" w:rsidR="001244FD" w:rsidRPr="00750BFD" w:rsidRDefault="001244FD" w:rsidP="0025214B">
      <w:pPr>
        <w:pStyle w:val="Prrafodelista"/>
        <w:numPr>
          <w:ilvl w:val="0"/>
          <w:numId w:val="10"/>
        </w:numPr>
      </w:pPr>
      <w:r w:rsidRPr="00750BFD">
        <w:t xml:space="preserve">Resolución No. DDC-000003 del 5 de diciembre de 2018 “Por la cual se establecen lineamientos para la sostenibilidad del Sistema Contable Público Distrital” art. 7 “Plan de sostenibilidad”. </w:t>
      </w:r>
    </w:p>
    <w:p w14:paraId="5978C23A" w14:textId="50F71F7B" w:rsidR="001244FD" w:rsidRPr="00750BFD" w:rsidRDefault="001244FD" w:rsidP="0025214B">
      <w:pPr>
        <w:pStyle w:val="Prrafodelista"/>
        <w:numPr>
          <w:ilvl w:val="0"/>
          <w:numId w:val="10"/>
        </w:numPr>
      </w:pPr>
      <w:r w:rsidRPr="00750BFD">
        <w:t xml:space="preserve">Resolución </w:t>
      </w:r>
      <w:r w:rsidR="001839A0" w:rsidRPr="00750BFD">
        <w:t xml:space="preserve">Interna </w:t>
      </w:r>
      <w:r w:rsidR="003F240E" w:rsidRPr="00750BFD">
        <w:t xml:space="preserve">093 </w:t>
      </w:r>
      <w:r w:rsidRPr="00750BFD">
        <w:t>de 2019.</w:t>
      </w:r>
    </w:p>
    <w:p w14:paraId="08C01F23" w14:textId="77777777" w:rsidR="001244FD" w:rsidRPr="00692284" w:rsidRDefault="001244FD" w:rsidP="0025214B">
      <w:pPr>
        <w:pStyle w:val="Prrafodelista"/>
        <w:numPr>
          <w:ilvl w:val="0"/>
          <w:numId w:val="10"/>
        </w:numPr>
      </w:pPr>
      <w:r w:rsidRPr="00750BFD">
        <w:t xml:space="preserve">Plan de Sostenibilidad Contable </w:t>
      </w:r>
      <w:r w:rsidR="00692284" w:rsidRPr="00750BFD">
        <w:t xml:space="preserve">publicado en el link </w:t>
      </w:r>
      <w:hyperlink r:id="rId8" w:anchor="overlay-context=" w:history="1">
        <w:r w:rsidR="00692284" w:rsidRPr="00750BFD">
          <w:rPr>
            <w:rStyle w:val="Hipervnculo"/>
          </w:rPr>
          <w:t>http://www.idep.edu.co/?q=content/gf-14-proceso-de-gesti%C3%B3n-financiera#overlay-context=</w:t>
        </w:r>
      </w:hyperlink>
      <w:r w:rsidRPr="00692284">
        <w:t>.</w:t>
      </w:r>
    </w:p>
    <w:p w14:paraId="4D77430D" w14:textId="77777777" w:rsidR="001244FD" w:rsidRPr="00692284" w:rsidRDefault="001244FD" w:rsidP="003F240E">
      <w:pPr>
        <w:pStyle w:val="Prrafodelista"/>
        <w:rPr>
          <w:rFonts w:cs="Arial"/>
          <w:b/>
          <w:szCs w:val="24"/>
        </w:rPr>
      </w:pPr>
    </w:p>
    <w:p w14:paraId="7354328B" w14:textId="77777777" w:rsidR="000C632F" w:rsidRPr="00B65F31" w:rsidRDefault="000C632F" w:rsidP="000C632F">
      <w:pPr>
        <w:pStyle w:val="Prrafodelista"/>
        <w:numPr>
          <w:ilvl w:val="0"/>
          <w:numId w:val="1"/>
        </w:numPr>
        <w:spacing w:after="160" w:line="259" w:lineRule="auto"/>
        <w:ind w:left="426" w:right="-376" w:firstLine="0"/>
        <w:jc w:val="left"/>
        <w:rPr>
          <w:rFonts w:eastAsiaTheme="minorHAnsi" w:cs="Arial"/>
          <w:b/>
          <w:bCs/>
          <w:szCs w:val="24"/>
          <w:lang w:eastAsia="en-US"/>
        </w:rPr>
      </w:pPr>
      <w:r>
        <w:rPr>
          <w:rFonts w:cs="Arial"/>
          <w:b/>
          <w:szCs w:val="24"/>
        </w:rPr>
        <w:t xml:space="preserve">METODOLOGIA </w:t>
      </w:r>
    </w:p>
    <w:p w14:paraId="0B60E4CB" w14:textId="77777777" w:rsidR="00750BFD" w:rsidRDefault="00750BFD" w:rsidP="00F2463C">
      <w:pPr>
        <w:shd w:val="clear" w:color="auto" w:fill="FFFFFF"/>
        <w:spacing w:after="0" w:line="240" w:lineRule="auto"/>
        <w:rPr>
          <w:rFonts w:eastAsiaTheme="majorEastAsia" w:cs="Arial"/>
          <w:bCs/>
          <w:iCs/>
          <w:szCs w:val="24"/>
        </w:rPr>
      </w:pPr>
    </w:p>
    <w:p w14:paraId="7A92D2F5" w14:textId="0B9C6F27" w:rsidR="00E74245" w:rsidRPr="00750BFD" w:rsidRDefault="001244FD" w:rsidP="00F2463C">
      <w:pPr>
        <w:shd w:val="clear" w:color="auto" w:fill="FFFFFF"/>
        <w:spacing w:after="0" w:line="240" w:lineRule="auto"/>
        <w:rPr>
          <w:rFonts w:eastAsiaTheme="majorEastAsia" w:cs="Arial"/>
          <w:bCs/>
          <w:iCs/>
          <w:szCs w:val="24"/>
        </w:rPr>
      </w:pPr>
      <w:r w:rsidRPr="00750BFD">
        <w:rPr>
          <w:rFonts w:eastAsiaTheme="majorEastAsia" w:cs="Arial"/>
          <w:bCs/>
          <w:iCs/>
          <w:szCs w:val="24"/>
        </w:rPr>
        <w:t xml:space="preserve">Se solicitó mediante </w:t>
      </w:r>
      <w:r w:rsidR="00E74245" w:rsidRPr="00750BFD">
        <w:rPr>
          <w:rFonts w:eastAsiaTheme="majorEastAsia" w:cs="Arial"/>
          <w:bCs/>
          <w:iCs/>
          <w:szCs w:val="24"/>
        </w:rPr>
        <w:t>memorando No. 632 del 5 de mayo</w:t>
      </w:r>
      <w:r w:rsidRPr="00750BFD">
        <w:rPr>
          <w:rFonts w:eastAsiaTheme="majorEastAsia" w:cs="Arial"/>
          <w:bCs/>
          <w:iCs/>
          <w:szCs w:val="24"/>
        </w:rPr>
        <w:t xml:space="preserve"> </w:t>
      </w:r>
      <w:r w:rsidR="00E74245" w:rsidRPr="00750BFD">
        <w:rPr>
          <w:rFonts w:eastAsiaTheme="majorEastAsia" w:cs="Arial"/>
          <w:bCs/>
          <w:iCs/>
          <w:szCs w:val="24"/>
        </w:rPr>
        <w:t>de 2021</w:t>
      </w:r>
      <w:r w:rsidR="00E815C8" w:rsidRPr="00750BFD">
        <w:rPr>
          <w:rFonts w:eastAsiaTheme="majorEastAsia" w:cs="Arial"/>
          <w:bCs/>
          <w:iCs/>
          <w:szCs w:val="24"/>
        </w:rPr>
        <w:t xml:space="preserve">, el avance del plan de sostenibilidad contable sus respectivos soportes de cada actividad; información que fue remitida </w:t>
      </w:r>
      <w:r w:rsidR="00E74245" w:rsidRPr="00750BFD">
        <w:rPr>
          <w:rFonts w:eastAsiaTheme="majorEastAsia" w:cs="Arial"/>
          <w:bCs/>
          <w:iCs/>
          <w:szCs w:val="24"/>
        </w:rPr>
        <w:t xml:space="preserve">mediante memorando No.651 del 11 de mayo de 2021 donde se puso a disposición el link </w:t>
      </w:r>
      <w:hyperlink r:id="rId9" w:tgtFrame="_blank" w:history="1">
        <w:r w:rsidR="00813D20" w:rsidRPr="00750BFD">
          <w:rPr>
            <w:rFonts w:eastAsiaTheme="majorEastAsia" w:cs="Arial"/>
            <w:bCs/>
            <w:iCs/>
            <w:szCs w:val="24"/>
          </w:rPr>
          <w:t>https://drive.google.com/drive/folders/1RZoXTlS40V-CWn-UVF5J6kX_IqQ6aUik?usp=sharing</w:t>
        </w:r>
      </w:hyperlink>
      <w:r w:rsidR="00F2463C" w:rsidRPr="00750BFD">
        <w:rPr>
          <w:rFonts w:eastAsiaTheme="majorEastAsia" w:cs="Arial"/>
          <w:bCs/>
          <w:iCs/>
          <w:szCs w:val="24"/>
        </w:rPr>
        <w:t xml:space="preserve">    </w:t>
      </w:r>
      <w:r w:rsidR="00E74245" w:rsidRPr="00750BFD">
        <w:rPr>
          <w:rFonts w:eastAsiaTheme="majorEastAsia" w:cs="Arial"/>
          <w:bCs/>
          <w:iCs/>
          <w:szCs w:val="24"/>
        </w:rPr>
        <w:t>a través del cual se pueden verificar las carpetas de enero a abril de 202</w:t>
      </w:r>
      <w:r w:rsidR="00813D20" w:rsidRPr="00750BFD">
        <w:rPr>
          <w:rFonts w:eastAsiaTheme="majorEastAsia" w:cs="Arial"/>
          <w:bCs/>
          <w:iCs/>
          <w:szCs w:val="24"/>
        </w:rPr>
        <w:t>1</w:t>
      </w:r>
      <w:r w:rsidR="00E74245" w:rsidRPr="00750BFD">
        <w:rPr>
          <w:rFonts w:eastAsiaTheme="majorEastAsia" w:cs="Arial"/>
          <w:bCs/>
          <w:iCs/>
          <w:szCs w:val="24"/>
        </w:rPr>
        <w:t>, con respecto al cumplimiento al Plan de Sostenibilidad Contable, por parte de las áreas o gestores responsables de la información en cada uno de los procesos.</w:t>
      </w:r>
    </w:p>
    <w:p w14:paraId="66B78833" w14:textId="77777777" w:rsidR="00D66463" w:rsidRDefault="00D66463">
      <w:pPr>
        <w:spacing w:after="160" w:line="259" w:lineRule="auto"/>
        <w:jc w:val="left"/>
        <w:rPr>
          <w:rFonts w:eastAsiaTheme="minorHAnsi" w:cs="Arial"/>
          <w:szCs w:val="24"/>
          <w:lang w:eastAsia="en-US"/>
        </w:rPr>
      </w:pPr>
    </w:p>
    <w:p w14:paraId="75EED5B5" w14:textId="77777777" w:rsidR="000C632F" w:rsidRPr="00AC62FB" w:rsidRDefault="000C632F" w:rsidP="000C632F">
      <w:pPr>
        <w:pStyle w:val="Prrafodelista"/>
        <w:numPr>
          <w:ilvl w:val="0"/>
          <w:numId w:val="1"/>
        </w:numPr>
        <w:spacing w:after="160" w:line="259" w:lineRule="auto"/>
        <w:ind w:left="426" w:right="-376" w:firstLine="0"/>
        <w:jc w:val="left"/>
        <w:rPr>
          <w:rFonts w:eastAsiaTheme="minorHAnsi" w:cs="Arial"/>
          <w:b/>
          <w:bCs/>
          <w:szCs w:val="24"/>
          <w:lang w:eastAsia="en-US"/>
        </w:rPr>
      </w:pPr>
      <w:r>
        <w:rPr>
          <w:rFonts w:eastAsiaTheme="minorHAnsi" w:cs="Arial"/>
          <w:b/>
          <w:bCs/>
          <w:szCs w:val="24"/>
          <w:lang w:eastAsia="en-US"/>
        </w:rPr>
        <w:t>RESULTADOS DEL SEGUIMIENTO Y EVALUACIÓN</w:t>
      </w:r>
    </w:p>
    <w:p w14:paraId="66896B36" w14:textId="77777777" w:rsidR="00EB7144" w:rsidRDefault="00EB7144" w:rsidP="006C5144">
      <w:pPr>
        <w:rPr>
          <w:rFonts w:eastAsiaTheme="majorEastAsia" w:cs="Arial"/>
          <w:bCs/>
          <w:iCs/>
          <w:szCs w:val="24"/>
        </w:rPr>
      </w:pPr>
    </w:p>
    <w:p w14:paraId="40E2EFC7" w14:textId="71EC1875" w:rsidR="0025214B" w:rsidRDefault="001839A0" w:rsidP="006C5144">
      <w:pPr>
        <w:rPr>
          <w:rFonts w:eastAsiaTheme="majorEastAsia" w:cs="Arial"/>
          <w:bCs/>
          <w:iCs/>
          <w:szCs w:val="24"/>
        </w:rPr>
      </w:pPr>
      <w:r>
        <w:rPr>
          <w:rFonts w:eastAsiaTheme="majorEastAsia" w:cs="Arial"/>
          <w:bCs/>
          <w:iCs/>
          <w:szCs w:val="24"/>
        </w:rPr>
        <w:t>De conformidad a</w:t>
      </w:r>
      <w:r w:rsidR="00D66463">
        <w:rPr>
          <w:rFonts w:eastAsiaTheme="majorEastAsia" w:cs="Arial"/>
          <w:bCs/>
          <w:iCs/>
          <w:szCs w:val="24"/>
        </w:rPr>
        <w:t>l artículo 15° “</w:t>
      </w:r>
      <w:r w:rsidR="00D66463" w:rsidRPr="00D66463">
        <w:rPr>
          <w:rFonts w:eastAsiaTheme="majorEastAsia" w:cs="Arial"/>
          <w:bCs/>
          <w:i/>
          <w:szCs w:val="24"/>
        </w:rPr>
        <w:t>Plan de sostenibilidad contable”</w:t>
      </w:r>
      <w:r>
        <w:rPr>
          <w:rFonts w:eastAsiaTheme="majorEastAsia" w:cs="Arial"/>
          <w:bCs/>
          <w:iCs/>
          <w:szCs w:val="24"/>
        </w:rPr>
        <w:t xml:space="preserve"> </w:t>
      </w:r>
      <w:r w:rsidR="00D66463">
        <w:rPr>
          <w:rFonts w:eastAsiaTheme="majorEastAsia" w:cs="Arial"/>
          <w:bCs/>
          <w:iCs/>
          <w:szCs w:val="24"/>
        </w:rPr>
        <w:t xml:space="preserve">de </w:t>
      </w:r>
      <w:r>
        <w:rPr>
          <w:rFonts w:eastAsiaTheme="majorEastAsia" w:cs="Arial"/>
          <w:bCs/>
          <w:iCs/>
          <w:szCs w:val="24"/>
        </w:rPr>
        <w:t xml:space="preserve">la </w:t>
      </w:r>
      <w:r w:rsidR="006C5144">
        <w:rPr>
          <w:rFonts w:eastAsiaTheme="majorEastAsia" w:cs="Arial"/>
          <w:bCs/>
          <w:iCs/>
          <w:szCs w:val="24"/>
        </w:rPr>
        <w:t xml:space="preserve">Resolución Interna No. 093 de 2019 </w:t>
      </w:r>
      <w:r>
        <w:rPr>
          <w:rFonts w:eastAsiaTheme="majorEastAsia" w:cs="Arial"/>
          <w:bCs/>
          <w:iCs/>
          <w:szCs w:val="24"/>
        </w:rPr>
        <w:t>p</w:t>
      </w:r>
      <w:r w:rsidR="006C5144">
        <w:rPr>
          <w:rFonts w:eastAsiaTheme="majorEastAsia" w:cs="Arial"/>
          <w:bCs/>
          <w:iCs/>
          <w:szCs w:val="24"/>
        </w:rPr>
        <w:t>or la cual se actualizan las disposiciones contenidas en la Resolución 147 de 2018 mediante el cual se modificó el funcionamiento del Comité Técnico de Sostenibilidad Contable del Sistema Contable del Instituto para la Investigación Educativa y el Desarrollo Pedagógico – IDEP, y se dictan algunas disposiciones</w:t>
      </w:r>
      <w:r>
        <w:rPr>
          <w:rFonts w:eastAsiaTheme="majorEastAsia" w:cs="Arial"/>
          <w:bCs/>
          <w:iCs/>
          <w:szCs w:val="24"/>
        </w:rPr>
        <w:t xml:space="preserve">; </w:t>
      </w:r>
      <w:r w:rsidR="00D66463">
        <w:rPr>
          <w:rFonts w:eastAsiaTheme="majorEastAsia" w:cs="Arial"/>
          <w:bCs/>
          <w:iCs/>
          <w:szCs w:val="24"/>
        </w:rPr>
        <w:t xml:space="preserve">la Oficina de Control Interno conforme a los roles que le asiste </w:t>
      </w:r>
      <w:r w:rsidR="006C5144">
        <w:rPr>
          <w:rFonts w:eastAsiaTheme="majorEastAsia" w:cs="Arial"/>
          <w:bCs/>
          <w:iCs/>
          <w:szCs w:val="24"/>
        </w:rPr>
        <w:t>procedió a verificar el cumplimiento de las actividades allí dispuestas acorde a los soportes de remitidos, así:</w:t>
      </w:r>
    </w:p>
    <w:p w14:paraId="4192D66F" w14:textId="77777777" w:rsidR="00D66463" w:rsidRDefault="00D66463" w:rsidP="006C5144">
      <w:pPr>
        <w:rPr>
          <w:rFonts w:eastAsiaTheme="majorEastAsia" w:cs="Arial"/>
          <w:bCs/>
          <w:iCs/>
          <w:szCs w:val="24"/>
        </w:rPr>
      </w:pPr>
    </w:p>
    <w:p w14:paraId="1B148009" w14:textId="14BC40DD" w:rsidR="00D30B0E" w:rsidRPr="00D66463" w:rsidRDefault="006C5144" w:rsidP="00D66463">
      <w:pPr>
        <w:pStyle w:val="Prrafodelista"/>
        <w:numPr>
          <w:ilvl w:val="1"/>
          <w:numId w:val="6"/>
        </w:numPr>
        <w:rPr>
          <w:b/>
          <w:bCs/>
        </w:rPr>
      </w:pPr>
      <w:r w:rsidRPr="00D66463">
        <w:rPr>
          <w:b/>
          <w:bCs/>
        </w:rPr>
        <w:t xml:space="preserve">Conciliaciones bancarias: </w:t>
      </w:r>
    </w:p>
    <w:p w14:paraId="5B6B9C7E" w14:textId="77777777" w:rsidR="008E4100" w:rsidRPr="001C5E34" w:rsidRDefault="006C5144" w:rsidP="000C632F">
      <w:pPr>
        <w:pStyle w:val="Ttulo4"/>
        <w:rPr>
          <w:rFonts w:ascii="Arial" w:hAnsi="Arial" w:cs="Arial"/>
          <w:bCs/>
          <w:i w:val="0"/>
          <w:color w:val="auto"/>
          <w:szCs w:val="24"/>
        </w:rPr>
      </w:pPr>
      <w:r w:rsidRPr="001C5E34">
        <w:rPr>
          <w:rFonts w:ascii="Arial" w:hAnsi="Arial" w:cs="Arial"/>
          <w:bCs/>
          <w:i w:val="0"/>
          <w:color w:val="auto"/>
          <w:szCs w:val="24"/>
        </w:rPr>
        <w:t xml:space="preserve">Se verificó por parte de esta Oficina los saldos de los extractos bancarios, libro auxiliar </w:t>
      </w:r>
    </w:p>
    <w:p w14:paraId="1F34BFD8" w14:textId="77777777" w:rsidR="00BC7F71" w:rsidRPr="001C5E34" w:rsidRDefault="006C5144" w:rsidP="000C632F">
      <w:pPr>
        <w:pStyle w:val="Ttulo4"/>
        <w:rPr>
          <w:rFonts w:ascii="Arial" w:hAnsi="Arial" w:cs="Arial"/>
          <w:bCs/>
          <w:i w:val="0"/>
          <w:color w:val="auto"/>
          <w:szCs w:val="24"/>
        </w:rPr>
      </w:pPr>
      <w:r w:rsidRPr="001C5E34">
        <w:rPr>
          <w:rFonts w:ascii="Arial" w:hAnsi="Arial" w:cs="Arial"/>
          <w:bCs/>
          <w:i w:val="0"/>
          <w:color w:val="auto"/>
          <w:szCs w:val="24"/>
        </w:rPr>
        <w:t xml:space="preserve">de bancos y las conciliaciones efectuadas por parte del área Contable, </w:t>
      </w:r>
      <w:r w:rsidR="00BC7F71" w:rsidRPr="001C5E34">
        <w:rPr>
          <w:rFonts w:ascii="Arial" w:hAnsi="Arial" w:cs="Arial"/>
          <w:bCs/>
          <w:i w:val="0"/>
          <w:color w:val="auto"/>
          <w:szCs w:val="24"/>
        </w:rPr>
        <w:t xml:space="preserve">de los meses de enero a abril de 2021 </w:t>
      </w:r>
      <w:r w:rsidRPr="001C5E34">
        <w:rPr>
          <w:rFonts w:ascii="Arial" w:hAnsi="Arial" w:cs="Arial"/>
          <w:bCs/>
          <w:i w:val="0"/>
          <w:color w:val="auto"/>
          <w:szCs w:val="24"/>
        </w:rPr>
        <w:t xml:space="preserve">evidenciando que no se presentan partidas por conciliar en las </w:t>
      </w:r>
      <w:r w:rsidR="00BC7F71" w:rsidRPr="001C5E34">
        <w:rPr>
          <w:rFonts w:ascii="Arial" w:hAnsi="Arial" w:cs="Arial"/>
          <w:bCs/>
          <w:i w:val="0"/>
          <w:color w:val="auto"/>
          <w:szCs w:val="24"/>
        </w:rPr>
        <w:t>siguientes cuentas bancarias:</w:t>
      </w:r>
    </w:p>
    <w:p w14:paraId="433E7473" w14:textId="2F14B8D6" w:rsidR="00D66463" w:rsidRDefault="006C5144" w:rsidP="00D66463">
      <w:pPr>
        <w:pStyle w:val="Ttulo4"/>
        <w:numPr>
          <w:ilvl w:val="0"/>
          <w:numId w:val="13"/>
        </w:numPr>
        <w:rPr>
          <w:rFonts w:ascii="Arial" w:hAnsi="Arial" w:cs="Arial"/>
          <w:bCs/>
          <w:i w:val="0"/>
          <w:color w:val="auto"/>
          <w:szCs w:val="24"/>
        </w:rPr>
      </w:pPr>
      <w:r w:rsidRPr="001C5E34">
        <w:rPr>
          <w:rFonts w:ascii="Arial" w:hAnsi="Arial" w:cs="Arial"/>
          <w:bCs/>
          <w:i w:val="0"/>
          <w:color w:val="auto"/>
          <w:szCs w:val="24"/>
        </w:rPr>
        <w:t>Banco Av</w:t>
      </w:r>
      <w:r w:rsidR="00D36DF8" w:rsidRPr="001C5E34">
        <w:rPr>
          <w:rFonts w:ascii="Arial" w:hAnsi="Arial" w:cs="Arial"/>
          <w:bCs/>
          <w:i w:val="0"/>
          <w:color w:val="auto"/>
          <w:szCs w:val="24"/>
        </w:rPr>
        <w:t>.</w:t>
      </w:r>
      <w:r w:rsidR="00D66463">
        <w:rPr>
          <w:rFonts w:ascii="Arial" w:hAnsi="Arial" w:cs="Arial"/>
          <w:bCs/>
          <w:i w:val="0"/>
          <w:color w:val="auto"/>
          <w:szCs w:val="24"/>
        </w:rPr>
        <w:t xml:space="preserve"> </w:t>
      </w:r>
      <w:r w:rsidR="00D66463" w:rsidRPr="001C5E34">
        <w:rPr>
          <w:rFonts w:ascii="Arial" w:hAnsi="Arial" w:cs="Arial"/>
          <w:bCs/>
          <w:i w:val="0"/>
          <w:color w:val="auto"/>
          <w:szCs w:val="24"/>
        </w:rPr>
        <w:t>Villas</w:t>
      </w:r>
      <w:r w:rsidR="00D66463">
        <w:rPr>
          <w:rFonts w:ascii="Arial" w:hAnsi="Arial" w:cs="Arial"/>
          <w:bCs/>
          <w:i w:val="0"/>
          <w:color w:val="auto"/>
          <w:szCs w:val="24"/>
        </w:rPr>
        <w:t xml:space="preserve">: </w:t>
      </w:r>
      <w:r w:rsidR="00D66463">
        <w:rPr>
          <w:rFonts w:ascii="Arial" w:hAnsi="Arial" w:cs="Arial"/>
          <w:bCs/>
          <w:i w:val="0"/>
          <w:color w:val="auto"/>
          <w:szCs w:val="24"/>
        </w:rPr>
        <w:tab/>
        <w:t>Cuentas</w:t>
      </w:r>
      <w:r w:rsidR="00BC7F71" w:rsidRPr="001C5E34">
        <w:rPr>
          <w:rFonts w:ascii="Arial" w:hAnsi="Arial" w:cs="Arial"/>
          <w:bCs/>
          <w:i w:val="0"/>
          <w:color w:val="auto"/>
          <w:szCs w:val="24"/>
        </w:rPr>
        <w:t xml:space="preserve"> </w:t>
      </w:r>
      <w:r w:rsidRPr="001C5E34">
        <w:rPr>
          <w:rFonts w:ascii="Arial" w:hAnsi="Arial" w:cs="Arial"/>
          <w:bCs/>
          <w:i w:val="0"/>
          <w:color w:val="auto"/>
          <w:szCs w:val="24"/>
        </w:rPr>
        <w:t>terminadas en 1478 y 2707</w:t>
      </w:r>
      <w:r w:rsidR="00D66463">
        <w:rPr>
          <w:rFonts w:ascii="Arial" w:hAnsi="Arial" w:cs="Arial"/>
          <w:bCs/>
          <w:i w:val="0"/>
          <w:color w:val="auto"/>
          <w:szCs w:val="24"/>
        </w:rPr>
        <w:t>.</w:t>
      </w:r>
    </w:p>
    <w:p w14:paraId="6F1F3974" w14:textId="13469361" w:rsidR="006C5144" w:rsidRDefault="006C5144" w:rsidP="00D66463">
      <w:pPr>
        <w:pStyle w:val="Ttulo4"/>
        <w:numPr>
          <w:ilvl w:val="0"/>
          <w:numId w:val="13"/>
        </w:numPr>
        <w:rPr>
          <w:rFonts w:ascii="Arial" w:hAnsi="Arial" w:cs="Arial"/>
          <w:bCs/>
          <w:i w:val="0"/>
          <w:color w:val="auto"/>
          <w:szCs w:val="24"/>
        </w:rPr>
      </w:pPr>
      <w:r w:rsidRPr="001C5E34">
        <w:rPr>
          <w:rFonts w:ascii="Arial" w:hAnsi="Arial" w:cs="Arial"/>
          <w:bCs/>
          <w:i w:val="0"/>
          <w:color w:val="auto"/>
          <w:szCs w:val="24"/>
        </w:rPr>
        <w:t>Banco de Bogotá</w:t>
      </w:r>
      <w:r w:rsidR="00D66463">
        <w:rPr>
          <w:rFonts w:ascii="Arial" w:hAnsi="Arial" w:cs="Arial"/>
          <w:bCs/>
          <w:i w:val="0"/>
          <w:color w:val="auto"/>
          <w:szCs w:val="24"/>
        </w:rPr>
        <w:t xml:space="preserve">: </w:t>
      </w:r>
      <w:r w:rsidRPr="001C5E34">
        <w:rPr>
          <w:rFonts w:ascii="Arial" w:hAnsi="Arial" w:cs="Arial"/>
          <w:bCs/>
          <w:i w:val="0"/>
          <w:color w:val="auto"/>
          <w:szCs w:val="24"/>
        </w:rPr>
        <w:t xml:space="preserve"> </w:t>
      </w:r>
      <w:r w:rsidR="00D66463">
        <w:rPr>
          <w:rFonts w:ascii="Arial" w:hAnsi="Arial" w:cs="Arial"/>
          <w:bCs/>
          <w:i w:val="0"/>
          <w:color w:val="auto"/>
          <w:szCs w:val="24"/>
        </w:rPr>
        <w:t>C</w:t>
      </w:r>
      <w:r w:rsidR="00BC7F71" w:rsidRPr="001C5E34">
        <w:rPr>
          <w:rFonts w:ascii="Arial" w:hAnsi="Arial" w:cs="Arial"/>
          <w:bCs/>
          <w:i w:val="0"/>
          <w:color w:val="auto"/>
          <w:szCs w:val="24"/>
        </w:rPr>
        <w:t xml:space="preserve">uentas </w:t>
      </w:r>
      <w:r w:rsidRPr="001C5E34">
        <w:rPr>
          <w:rFonts w:ascii="Arial" w:hAnsi="Arial" w:cs="Arial"/>
          <w:bCs/>
          <w:i w:val="0"/>
          <w:color w:val="auto"/>
          <w:szCs w:val="24"/>
        </w:rPr>
        <w:t>terminadas en 2029, 6623 y 3983.</w:t>
      </w:r>
    </w:p>
    <w:p w14:paraId="1BEC1C4A" w14:textId="09732D74" w:rsidR="00C367D2" w:rsidRDefault="00D36DF8" w:rsidP="00C367D2">
      <w:r>
        <w:t xml:space="preserve"> </w:t>
      </w:r>
    </w:p>
    <w:p w14:paraId="22A372D1" w14:textId="73786DD3" w:rsidR="00750BFD" w:rsidRDefault="00750BFD" w:rsidP="00C367D2"/>
    <w:p w14:paraId="6E1A36CE" w14:textId="77777777" w:rsidR="00750BFD" w:rsidRPr="00C367D2" w:rsidRDefault="00750BFD" w:rsidP="00C367D2"/>
    <w:p w14:paraId="4C06142E" w14:textId="77777777" w:rsidR="006C5144" w:rsidRPr="00761557" w:rsidRDefault="00C367D2" w:rsidP="00761557">
      <w:pPr>
        <w:pStyle w:val="Prrafodelista"/>
        <w:numPr>
          <w:ilvl w:val="1"/>
          <w:numId w:val="6"/>
        </w:numPr>
        <w:rPr>
          <w:b/>
          <w:bCs/>
        </w:rPr>
      </w:pPr>
      <w:r w:rsidRPr="00761557">
        <w:rPr>
          <w:b/>
          <w:bCs/>
        </w:rPr>
        <w:lastRenderedPageBreak/>
        <w:t>Efectivo y equivalentes al efectivo</w:t>
      </w:r>
    </w:p>
    <w:p w14:paraId="204105A0" w14:textId="3F745999" w:rsidR="00B94D7A" w:rsidRDefault="009220CE" w:rsidP="006C5144">
      <w:r w:rsidRPr="00D66463">
        <w:t>Esta actividad se realiza de manera anual</w:t>
      </w:r>
      <w:r w:rsidRPr="00D66463">
        <w:t xml:space="preserve">,  </w:t>
      </w:r>
      <w:r w:rsidRPr="00D66463">
        <w:t xml:space="preserve">situación que fue revelada en los Estados </w:t>
      </w:r>
      <w:r w:rsidRPr="00D66463">
        <w:t xml:space="preserve">financieros </w:t>
      </w:r>
      <w:r w:rsidRPr="00D66463">
        <w:t xml:space="preserve">del año 2020 y que se encuentran publicados en la página web del Instituto en el link </w:t>
      </w:r>
      <w:hyperlink r:id="rId10" w:history="1">
        <w:r w:rsidRPr="00D66463">
          <w:rPr>
            <w:rStyle w:val="Hipervnculo"/>
          </w:rPr>
          <w:t>http://www.idep.edu.co/?q=node/37</w:t>
        </w:r>
      </w:hyperlink>
      <w:r w:rsidR="00F733A4" w:rsidRPr="00D66463">
        <w:t xml:space="preserve">, </w:t>
      </w:r>
      <w:r w:rsidRPr="00D66463">
        <w:t xml:space="preserve">en sus notas </w:t>
      </w:r>
      <w:r w:rsidR="00F733A4" w:rsidRPr="00D66463">
        <w:t>c</w:t>
      </w:r>
      <w:r w:rsidR="00BC7F71" w:rsidRPr="00D66463">
        <w:t xml:space="preserve">on corte a 31 de diciembre de 2020 se </w:t>
      </w:r>
      <w:r w:rsidRPr="00D66463">
        <w:t xml:space="preserve">indica que hay </w:t>
      </w:r>
      <w:r w:rsidR="00BC7F71" w:rsidRPr="00D66463">
        <w:t xml:space="preserve">un saldo en cuentas de ahorro por valor de $480.608.474, los cuales son recursos con destinación específica, toda vez que provienen de convenios de recursos recibidos en administración, suscritos en la vigencia 2020. </w:t>
      </w:r>
    </w:p>
    <w:p w14:paraId="690233DB" w14:textId="77777777" w:rsidR="00C367D2" w:rsidRDefault="00C367D2" w:rsidP="006C5144"/>
    <w:p w14:paraId="7D565CC1" w14:textId="77777777" w:rsidR="00C367D2" w:rsidRPr="00761557" w:rsidRDefault="00C367D2" w:rsidP="00761557">
      <w:pPr>
        <w:pStyle w:val="Prrafodelista"/>
        <w:numPr>
          <w:ilvl w:val="1"/>
          <w:numId w:val="6"/>
        </w:numPr>
        <w:rPr>
          <w:b/>
          <w:bCs/>
        </w:rPr>
      </w:pPr>
      <w:r w:rsidRPr="00761557">
        <w:rPr>
          <w:b/>
          <w:bCs/>
        </w:rPr>
        <w:t>Incapacidades.</w:t>
      </w:r>
    </w:p>
    <w:p w14:paraId="7531486E" w14:textId="77777777" w:rsidR="002B3F85" w:rsidRPr="00D66463" w:rsidRDefault="002B3F85" w:rsidP="006C5144">
      <w:r w:rsidRPr="00D66463">
        <w:t xml:space="preserve">Para el capítulo de incapacidades se establecieron dos actividades: </w:t>
      </w:r>
    </w:p>
    <w:p w14:paraId="7EB48896" w14:textId="77777777" w:rsidR="002B3F85" w:rsidRPr="00D66463" w:rsidRDefault="002B3F85" w:rsidP="002B3F85">
      <w:pPr>
        <w:pStyle w:val="Prrafodelista"/>
        <w:numPr>
          <w:ilvl w:val="0"/>
          <w:numId w:val="3"/>
        </w:numPr>
        <w:rPr>
          <w:i/>
          <w:iCs/>
          <w:sz w:val="22"/>
          <w:szCs w:val="20"/>
        </w:rPr>
      </w:pPr>
      <w:r w:rsidRPr="00D66463">
        <w:rPr>
          <w:i/>
          <w:iCs/>
          <w:sz w:val="22"/>
          <w:szCs w:val="20"/>
        </w:rPr>
        <w:t>“Informe por correo electrónico de las incapacidades, que contenga: Nombre del funcionario, nombre de la EPS, fecha de inicio y fecha de finalización de la incapacidad, salario base de liquidación, valor liquidado en nómina por cobrar a la EPS.</w:t>
      </w:r>
    </w:p>
    <w:p w14:paraId="6EE8E098" w14:textId="7D7B14BD" w:rsidR="00E94DE7" w:rsidRPr="00D66463" w:rsidRDefault="002B3F85" w:rsidP="002B3F85">
      <w:pPr>
        <w:pStyle w:val="Prrafodelista"/>
        <w:numPr>
          <w:ilvl w:val="0"/>
          <w:numId w:val="3"/>
        </w:numPr>
        <w:rPr>
          <w:i/>
          <w:iCs/>
          <w:sz w:val="22"/>
          <w:szCs w:val="20"/>
        </w:rPr>
      </w:pPr>
      <w:r w:rsidRPr="00D66463">
        <w:rPr>
          <w:i/>
          <w:iCs/>
          <w:sz w:val="22"/>
          <w:szCs w:val="20"/>
        </w:rPr>
        <w:t>Informe mediante correo electrónico de Incapacidades pendientes de recaudo, que contenga: Nombre del funcionario, nombre de la EPS, período (fecha de inicio y fecha de finalización de la incapacidad), antigüedad en días de las mismas, valor pagado por la EPS, fecha de ingreso de los recursos a la entidad, diferencia valor liquidado nómina y valor pagado por la EPS”</w:t>
      </w:r>
    </w:p>
    <w:p w14:paraId="473B2F57" w14:textId="77777777" w:rsidR="00E97625" w:rsidRDefault="00D66463" w:rsidP="00D66463">
      <w:r w:rsidRPr="00D66463">
        <w:t xml:space="preserve">Se verifico los documentos remitidos por parte de la </w:t>
      </w:r>
      <w:r w:rsidRPr="00D66463">
        <w:t>SAFYCID que</w:t>
      </w:r>
      <w:r w:rsidRPr="00D66463">
        <w:t xml:space="preserve"> mediante correo electrónico </w:t>
      </w:r>
      <w:r w:rsidRPr="00D66463">
        <w:t>del 05</w:t>
      </w:r>
      <w:r w:rsidRPr="00D66463">
        <w:t xml:space="preserve"> de mayo se </w:t>
      </w:r>
      <w:r w:rsidRPr="00D66463">
        <w:t>remiti</w:t>
      </w:r>
      <w:r>
        <w:t>ó</w:t>
      </w:r>
      <w:r w:rsidRPr="00D66463">
        <w:t xml:space="preserve"> el archivo de control de incapacidades</w:t>
      </w:r>
      <w:r>
        <w:t>; s</w:t>
      </w:r>
      <w:r w:rsidR="00E94DE7" w:rsidRPr="00D66463">
        <w:t xml:space="preserve">e verificó por parte de esta Oficina </w:t>
      </w:r>
      <w:r>
        <w:t xml:space="preserve">la conciliación efectuada con el área contable </w:t>
      </w:r>
      <w:r w:rsidR="00E94DE7" w:rsidRPr="00D66463">
        <w:t>con corte a abril de 2021</w:t>
      </w:r>
      <w:r>
        <w:t xml:space="preserve">, evidenciado </w:t>
      </w:r>
      <w:r w:rsidRPr="00D66463">
        <w:t>el</w:t>
      </w:r>
      <w:r w:rsidR="00E94DE7" w:rsidRPr="00D66463">
        <w:t xml:space="preserve"> pago de tres incapacidades con comprobante de ingreso 78, 23 y 103</w:t>
      </w:r>
      <w:r>
        <w:t>.</w:t>
      </w:r>
    </w:p>
    <w:p w14:paraId="63B8CC56" w14:textId="1BC09C5C" w:rsidR="00D66463" w:rsidRDefault="00D66463" w:rsidP="00D66463">
      <w:r>
        <w:t xml:space="preserve"> </w:t>
      </w:r>
    </w:p>
    <w:p w14:paraId="76E90BA6" w14:textId="412719D9" w:rsidR="00E268CE" w:rsidRPr="00761557" w:rsidRDefault="00E268CE" w:rsidP="00D66463">
      <w:pPr>
        <w:pStyle w:val="Prrafodelista"/>
        <w:numPr>
          <w:ilvl w:val="1"/>
          <w:numId w:val="6"/>
        </w:numPr>
        <w:rPr>
          <w:b/>
          <w:bCs/>
        </w:rPr>
      </w:pPr>
      <w:r w:rsidRPr="00761557">
        <w:rPr>
          <w:b/>
          <w:bCs/>
        </w:rPr>
        <w:t>Inventarios:</w:t>
      </w:r>
    </w:p>
    <w:p w14:paraId="6570CBE0" w14:textId="5787E3CE" w:rsidR="00DC5C39" w:rsidRDefault="00D66463" w:rsidP="00DC5C39">
      <w:r>
        <w:t>Con respecto a la a</w:t>
      </w:r>
      <w:r w:rsidR="00DC5C39">
        <w:t xml:space="preserve">ctividad </w:t>
      </w:r>
      <w:r w:rsidR="00DC5C39" w:rsidRPr="00511AC3">
        <w:rPr>
          <w:i/>
          <w:iCs/>
        </w:rPr>
        <w:t>“Informe a través de correo electrónico de los movimientos de inventarios, de impresos y publicaciones, debidamente conciliado con los saldos contables</w:t>
      </w:r>
      <w:r w:rsidR="00DC5C39">
        <w:t xml:space="preserve">”, se efectúo revisión por parte de esta Oficina del archivo en excel del inventario de impresos y publicaciones suministrado por parte de la Subdirección Financiera vs el auxiliar contable verificando la consistencia de los saldos al </w:t>
      </w:r>
      <w:r w:rsidR="00491454">
        <w:t xml:space="preserve">con corte al </w:t>
      </w:r>
      <w:r w:rsidR="00DC5C39">
        <w:t>mes de abril de 202</w:t>
      </w:r>
      <w:r w:rsidR="00813D20">
        <w:t>1</w:t>
      </w:r>
      <w:r>
        <w:t>.</w:t>
      </w:r>
    </w:p>
    <w:p w14:paraId="0BD62C30" w14:textId="77777777" w:rsidR="00E97625" w:rsidRDefault="00D66463" w:rsidP="00DC5C39">
      <w:r w:rsidRPr="00E97625">
        <w:rPr>
          <w:b/>
          <w:bCs/>
          <w:i/>
          <w:iCs/>
        </w:rPr>
        <w:lastRenderedPageBreak/>
        <w:t>Observación No. 01</w:t>
      </w:r>
      <w:r w:rsidRPr="00E97625">
        <w:rPr>
          <w:i/>
          <w:iCs/>
        </w:rPr>
        <w:t>.</w:t>
      </w:r>
      <w:r>
        <w:t xml:space="preserve">  Se reitera por parte de esta Oficina formalizar y/o institucionalizar </w:t>
      </w:r>
      <w:r>
        <w:t xml:space="preserve">el archivo de excel con el que se viene reportando la </w:t>
      </w:r>
      <w:r w:rsidR="00E97625">
        <w:t xml:space="preserve">información, </w:t>
      </w:r>
      <w:r w:rsidR="00E97625" w:rsidRPr="00D66463">
        <w:t>toda</w:t>
      </w:r>
      <w:r w:rsidRPr="00D66463">
        <w:t xml:space="preserve"> vez que el mismo carece de la identificación del responsable de elaboración y fecha de elaboración, tomando como referencia que estos documentos son los soportes del registro de la información contable y debe gozar de las </w:t>
      </w:r>
      <w:r w:rsidR="00E97625" w:rsidRPr="00D66463">
        <w:t>características</w:t>
      </w:r>
      <w:r w:rsidRPr="00D66463">
        <w:t xml:space="preserve"> de integridad y confiabilidad de la información. </w:t>
      </w:r>
    </w:p>
    <w:p w14:paraId="1F11CA03" w14:textId="0F352C4D" w:rsidR="00E97625" w:rsidRDefault="00D66463" w:rsidP="00E97625">
      <w:r>
        <w:t xml:space="preserve">De otra parte, se sugiere </w:t>
      </w:r>
      <w:r w:rsidR="00E97625">
        <w:t xml:space="preserve">modificar </w:t>
      </w:r>
      <w:r>
        <w:t xml:space="preserve">la actividad en cuanto a establecer si el producto es un “informe a través de correo electrónico…” o “informar a través de correo electrónico”, </w:t>
      </w:r>
      <w:r w:rsidR="00E97625">
        <w:t xml:space="preserve">que es como actualmente se está realizando. </w:t>
      </w:r>
    </w:p>
    <w:p w14:paraId="05F151E1" w14:textId="77777777" w:rsidR="00750BFD" w:rsidRDefault="00750BFD" w:rsidP="00E97625"/>
    <w:p w14:paraId="5E517DE7" w14:textId="087F84D3" w:rsidR="008465E3" w:rsidRPr="00761557" w:rsidRDefault="008465E3" w:rsidP="00E97625">
      <w:pPr>
        <w:pStyle w:val="Prrafodelista"/>
        <w:numPr>
          <w:ilvl w:val="1"/>
          <w:numId w:val="6"/>
        </w:numPr>
        <w:rPr>
          <w:b/>
          <w:bCs/>
        </w:rPr>
      </w:pPr>
      <w:r w:rsidRPr="00761557">
        <w:rPr>
          <w:b/>
          <w:bCs/>
        </w:rPr>
        <w:t xml:space="preserve">Propiedad, planta y equipo. </w:t>
      </w:r>
    </w:p>
    <w:p w14:paraId="7757FB5A" w14:textId="545A14F9" w:rsidR="00EA38E7" w:rsidRPr="008465E3" w:rsidRDefault="00EA38E7" w:rsidP="00EA38E7">
      <w:r w:rsidRPr="008465E3">
        <w:t>Para este acápite se establecieron las siguientes actividades</w:t>
      </w:r>
      <w:r w:rsidR="008465E3">
        <w:t xml:space="preserve"> y se evidencia los siguiente</w:t>
      </w:r>
      <w:r w:rsidR="00E97625">
        <w:t>s avances</w:t>
      </w:r>
      <w:r w:rsidRPr="008465E3">
        <w:t>:</w:t>
      </w:r>
    </w:p>
    <w:tbl>
      <w:tblPr>
        <w:tblStyle w:val="Tablaconcuadrcula"/>
        <w:tblW w:w="0" w:type="auto"/>
        <w:tblLook w:val="04A0" w:firstRow="1" w:lastRow="0" w:firstColumn="1" w:lastColumn="0" w:noHBand="0" w:noVBand="1"/>
      </w:tblPr>
      <w:tblGrid>
        <w:gridCol w:w="3722"/>
        <w:gridCol w:w="5340"/>
      </w:tblGrid>
      <w:tr w:rsidR="00EA38E7" w14:paraId="3D38473E" w14:textId="77777777" w:rsidTr="00EA38E7">
        <w:tc>
          <w:tcPr>
            <w:tcW w:w="4414" w:type="dxa"/>
          </w:tcPr>
          <w:p w14:paraId="0552B63E" w14:textId="77777777" w:rsidR="00EA38E7" w:rsidRPr="003F240E" w:rsidRDefault="00EA38E7" w:rsidP="00EA38E7">
            <w:pPr>
              <w:jc w:val="center"/>
              <w:rPr>
                <w:b/>
                <w:bCs/>
                <w:sz w:val="22"/>
                <w:szCs w:val="20"/>
              </w:rPr>
            </w:pPr>
            <w:r w:rsidRPr="003F240E">
              <w:rPr>
                <w:b/>
                <w:bCs/>
                <w:sz w:val="22"/>
                <w:szCs w:val="20"/>
              </w:rPr>
              <w:t>ACTIVIDAD</w:t>
            </w:r>
          </w:p>
        </w:tc>
        <w:tc>
          <w:tcPr>
            <w:tcW w:w="4414" w:type="dxa"/>
          </w:tcPr>
          <w:p w14:paraId="51261674" w14:textId="77777777" w:rsidR="00EA38E7" w:rsidRPr="003F240E" w:rsidRDefault="00EA38E7" w:rsidP="00EA38E7">
            <w:pPr>
              <w:jc w:val="center"/>
              <w:rPr>
                <w:b/>
                <w:bCs/>
                <w:sz w:val="22"/>
                <w:szCs w:val="20"/>
              </w:rPr>
            </w:pPr>
            <w:r w:rsidRPr="003F240E">
              <w:rPr>
                <w:b/>
                <w:bCs/>
                <w:sz w:val="22"/>
                <w:szCs w:val="20"/>
              </w:rPr>
              <w:t>SEGUIMIENTO OCI</w:t>
            </w:r>
          </w:p>
        </w:tc>
      </w:tr>
      <w:tr w:rsidR="00EA38E7" w14:paraId="1D010C62" w14:textId="77777777" w:rsidTr="001A512A">
        <w:tc>
          <w:tcPr>
            <w:tcW w:w="4414" w:type="dxa"/>
            <w:shd w:val="clear" w:color="auto" w:fill="auto"/>
          </w:tcPr>
          <w:p w14:paraId="3311ECF7" w14:textId="77777777" w:rsidR="00EA38E7" w:rsidRPr="001A512A" w:rsidRDefault="00EA38E7" w:rsidP="00EA38E7">
            <w:pPr>
              <w:rPr>
                <w:i/>
                <w:iCs/>
                <w:sz w:val="22"/>
                <w:szCs w:val="20"/>
              </w:rPr>
            </w:pPr>
            <w:r w:rsidRPr="001A512A">
              <w:rPr>
                <w:i/>
                <w:iCs/>
                <w:sz w:val="22"/>
                <w:szCs w:val="20"/>
              </w:rPr>
              <w:t xml:space="preserve">Enviar por medio de correo </w:t>
            </w:r>
            <w:r w:rsidR="00BD78B2" w:rsidRPr="001A512A">
              <w:rPr>
                <w:i/>
                <w:iCs/>
                <w:sz w:val="22"/>
                <w:szCs w:val="20"/>
              </w:rPr>
              <w:t>electrónico</w:t>
            </w:r>
            <w:r w:rsidRPr="001A512A">
              <w:rPr>
                <w:i/>
                <w:iCs/>
                <w:sz w:val="22"/>
                <w:szCs w:val="20"/>
              </w:rPr>
              <w:t xml:space="preserve">, la </w:t>
            </w:r>
            <w:r w:rsidR="00BD78B2" w:rsidRPr="001A512A">
              <w:rPr>
                <w:i/>
                <w:iCs/>
                <w:sz w:val="22"/>
                <w:szCs w:val="20"/>
              </w:rPr>
              <w:t>verificación</w:t>
            </w:r>
            <w:r w:rsidRPr="001A512A">
              <w:rPr>
                <w:i/>
                <w:iCs/>
                <w:sz w:val="22"/>
                <w:szCs w:val="20"/>
              </w:rPr>
              <w:t xml:space="preserve"> de los saldos del </w:t>
            </w:r>
            <w:r w:rsidR="00BD78B2" w:rsidRPr="001A512A">
              <w:rPr>
                <w:i/>
                <w:iCs/>
                <w:sz w:val="22"/>
                <w:szCs w:val="20"/>
              </w:rPr>
              <w:t>boletín</w:t>
            </w:r>
            <w:r w:rsidRPr="001A512A">
              <w:rPr>
                <w:i/>
                <w:iCs/>
                <w:sz w:val="22"/>
                <w:szCs w:val="20"/>
              </w:rPr>
              <w:t xml:space="preserve"> de </w:t>
            </w:r>
            <w:r w:rsidR="00BD78B2" w:rsidRPr="001A512A">
              <w:rPr>
                <w:i/>
                <w:iCs/>
                <w:sz w:val="22"/>
                <w:szCs w:val="20"/>
              </w:rPr>
              <w:t>almacén</w:t>
            </w:r>
            <w:r w:rsidRPr="001A512A">
              <w:rPr>
                <w:i/>
                <w:iCs/>
                <w:sz w:val="22"/>
                <w:szCs w:val="20"/>
              </w:rPr>
              <w:t xml:space="preserve"> vs el detalle por bien, e informar la diferencias</w:t>
            </w:r>
            <w:r w:rsidR="00491454" w:rsidRPr="001A512A">
              <w:rPr>
                <w:i/>
                <w:iCs/>
                <w:sz w:val="22"/>
                <w:szCs w:val="20"/>
              </w:rPr>
              <w:t xml:space="preserve"> </w:t>
            </w:r>
            <w:r w:rsidRPr="001A512A">
              <w:rPr>
                <w:i/>
                <w:iCs/>
                <w:sz w:val="22"/>
                <w:szCs w:val="20"/>
              </w:rPr>
              <w:t>presentadas, en caso de que existan</w:t>
            </w:r>
          </w:p>
        </w:tc>
        <w:tc>
          <w:tcPr>
            <w:tcW w:w="4414" w:type="dxa"/>
            <w:shd w:val="clear" w:color="auto" w:fill="auto"/>
          </w:tcPr>
          <w:p w14:paraId="122C7D19" w14:textId="27EE7F10" w:rsidR="00BD78B2" w:rsidRPr="001A512A" w:rsidRDefault="00E97625" w:rsidP="00E97625">
            <w:pPr>
              <w:rPr>
                <w:sz w:val="22"/>
                <w:szCs w:val="20"/>
              </w:rPr>
            </w:pPr>
            <w:r w:rsidRPr="001A512A">
              <w:rPr>
                <w:sz w:val="22"/>
                <w:szCs w:val="20"/>
              </w:rPr>
              <w:t xml:space="preserve">Se evidencia los correos electrónicos remitidos a Contabilidad del boletín del almacén de enero a abril de 2021. </w:t>
            </w:r>
          </w:p>
          <w:p w14:paraId="44D0E57F" w14:textId="4B7E37F3" w:rsidR="00EA38E7" w:rsidRPr="001A512A" w:rsidRDefault="00BD78B2" w:rsidP="00BD78B2">
            <w:pPr>
              <w:rPr>
                <w:sz w:val="22"/>
                <w:szCs w:val="20"/>
              </w:rPr>
            </w:pPr>
            <w:r w:rsidRPr="001A512A">
              <w:rPr>
                <w:sz w:val="22"/>
                <w:szCs w:val="20"/>
              </w:rPr>
              <w:t>Se realizó la verificación del soporte del boletín de almacén, auxiliares contables y la conciliación mensual</w:t>
            </w:r>
            <w:r w:rsidR="00A83088">
              <w:rPr>
                <w:sz w:val="22"/>
                <w:szCs w:val="20"/>
              </w:rPr>
              <w:t xml:space="preserve"> de bienes y la depreciación</w:t>
            </w:r>
            <w:r w:rsidRPr="001A512A">
              <w:rPr>
                <w:sz w:val="22"/>
                <w:szCs w:val="20"/>
              </w:rPr>
              <w:t>, evidenciado que al mes de abril no se presentan diferencias en el reporte de saldos.</w:t>
            </w:r>
          </w:p>
        </w:tc>
      </w:tr>
      <w:tr w:rsidR="00EA38E7" w14:paraId="77D858A3" w14:textId="77777777" w:rsidTr="001A512A">
        <w:tc>
          <w:tcPr>
            <w:tcW w:w="4414" w:type="dxa"/>
            <w:shd w:val="clear" w:color="auto" w:fill="auto"/>
          </w:tcPr>
          <w:p w14:paraId="4C44DDDF" w14:textId="77777777" w:rsidR="00EA38E7" w:rsidRPr="001A512A" w:rsidRDefault="00EA38E7" w:rsidP="00EA38E7">
            <w:pPr>
              <w:rPr>
                <w:sz w:val="22"/>
                <w:szCs w:val="20"/>
              </w:rPr>
            </w:pPr>
            <w:r w:rsidRPr="001A512A">
              <w:rPr>
                <w:sz w:val="22"/>
                <w:szCs w:val="20"/>
              </w:rPr>
              <w:t>Informar mediante correo electrónico las bajas de los bienes muebles e intangibles del período que corresponda</w:t>
            </w:r>
          </w:p>
        </w:tc>
        <w:tc>
          <w:tcPr>
            <w:tcW w:w="4414" w:type="dxa"/>
            <w:shd w:val="clear" w:color="auto" w:fill="auto"/>
          </w:tcPr>
          <w:p w14:paraId="211C6786" w14:textId="77777777" w:rsidR="00EA38E7" w:rsidRDefault="00BD78B2" w:rsidP="00E97625">
            <w:pPr>
              <w:rPr>
                <w:sz w:val="22"/>
                <w:szCs w:val="20"/>
              </w:rPr>
            </w:pPr>
            <w:r w:rsidRPr="001A512A">
              <w:rPr>
                <w:sz w:val="22"/>
                <w:szCs w:val="20"/>
              </w:rPr>
              <w:t xml:space="preserve">Durante el periodo evaluado </w:t>
            </w:r>
            <w:r w:rsidR="00E97625" w:rsidRPr="001A512A">
              <w:rPr>
                <w:sz w:val="22"/>
                <w:szCs w:val="20"/>
              </w:rPr>
              <w:t xml:space="preserve">se presentó una </w:t>
            </w:r>
            <w:r w:rsidR="00A83088">
              <w:rPr>
                <w:sz w:val="22"/>
                <w:szCs w:val="20"/>
              </w:rPr>
              <w:t xml:space="preserve">baja </w:t>
            </w:r>
            <w:r w:rsidR="00E97625" w:rsidRPr="001A512A">
              <w:rPr>
                <w:sz w:val="22"/>
                <w:szCs w:val="20"/>
              </w:rPr>
              <w:t xml:space="preserve">de elementos la cual está amparada con la Resolución No. </w:t>
            </w:r>
            <w:r w:rsidR="00E97625" w:rsidRPr="001A512A">
              <w:rPr>
                <w:sz w:val="22"/>
                <w:szCs w:val="20"/>
              </w:rPr>
              <w:t xml:space="preserve">021 de 2021 </w:t>
            </w:r>
            <w:r w:rsidR="00E97625" w:rsidRPr="001A512A">
              <w:rPr>
                <w:sz w:val="22"/>
                <w:szCs w:val="20"/>
              </w:rPr>
              <w:t>mediante la cual “S</w:t>
            </w:r>
            <w:r w:rsidR="00E97625" w:rsidRPr="001A512A">
              <w:rPr>
                <w:sz w:val="22"/>
                <w:szCs w:val="20"/>
              </w:rPr>
              <w:t>e autoriza dar de baja definitiva de bienes muebles que hacen parte de las propiedades, planta y equipo, clasificados actualmente como bienes servibles no utilizables</w:t>
            </w:r>
            <w:r w:rsidR="00E97625" w:rsidRPr="001A512A">
              <w:rPr>
                <w:sz w:val="22"/>
                <w:szCs w:val="20"/>
              </w:rPr>
              <w:t>”</w:t>
            </w:r>
            <w:r w:rsidR="001A512A">
              <w:rPr>
                <w:sz w:val="22"/>
                <w:szCs w:val="20"/>
              </w:rPr>
              <w:t xml:space="preserve">, el cual fue remitido al área contable mediante correo electrónico el 13 de abril de 2021. </w:t>
            </w:r>
          </w:p>
          <w:p w14:paraId="2913BCE1" w14:textId="77777777" w:rsidR="00750BFD" w:rsidRDefault="00750BFD" w:rsidP="00E97625">
            <w:pPr>
              <w:rPr>
                <w:sz w:val="22"/>
                <w:szCs w:val="20"/>
              </w:rPr>
            </w:pPr>
          </w:p>
          <w:p w14:paraId="09009ECA" w14:textId="59BC54F2" w:rsidR="00750BFD" w:rsidRPr="001A512A" w:rsidRDefault="00750BFD" w:rsidP="00E97625">
            <w:pPr>
              <w:rPr>
                <w:sz w:val="22"/>
                <w:szCs w:val="20"/>
              </w:rPr>
            </w:pPr>
          </w:p>
        </w:tc>
      </w:tr>
      <w:tr w:rsidR="00EA38E7" w14:paraId="251BD4F1" w14:textId="77777777" w:rsidTr="00EA38E7">
        <w:tc>
          <w:tcPr>
            <w:tcW w:w="4414" w:type="dxa"/>
          </w:tcPr>
          <w:p w14:paraId="41CD5A54" w14:textId="77777777" w:rsidR="00EA38E7" w:rsidRPr="00BD78B2" w:rsidRDefault="00EA38E7" w:rsidP="00EA38E7">
            <w:pPr>
              <w:rPr>
                <w:sz w:val="22"/>
                <w:szCs w:val="20"/>
              </w:rPr>
            </w:pPr>
            <w:r w:rsidRPr="00BD78B2">
              <w:rPr>
                <w:sz w:val="22"/>
                <w:szCs w:val="20"/>
              </w:rPr>
              <w:lastRenderedPageBreak/>
              <w:t xml:space="preserve">Informar mediante correo </w:t>
            </w:r>
            <w:r w:rsidR="00BD78B2" w:rsidRPr="00BD78B2">
              <w:rPr>
                <w:sz w:val="22"/>
                <w:szCs w:val="20"/>
              </w:rPr>
              <w:t>electrónico</w:t>
            </w:r>
            <w:r w:rsidRPr="00BD78B2">
              <w:rPr>
                <w:sz w:val="22"/>
                <w:szCs w:val="20"/>
              </w:rPr>
              <w:t xml:space="preserve">, las propiedades planta y equipo, adquiridas en transacciones sin </w:t>
            </w:r>
            <w:r w:rsidR="00BD78B2" w:rsidRPr="00BD78B2">
              <w:rPr>
                <w:sz w:val="22"/>
                <w:szCs w:val="20"/>
              </w:rPr>
              <w:t>contraprestación</w:t>
            </w:r>
            <w:r w:rsidRPr="00BD78B2">
              <w:rPr>
                <w:sz w:val="22"/>
                <w:szCs w:val="20"/>
              </w:rPr>
              <w:t>, cuando ocurra el evento</w:t>
            </w:r>
          </w:p>
        </w:tc>
        <w:tc>
          <w:tcPr>
            <w:tcW w:w="4414" w:type="dxa"/>
          </w:tcPr>
          <w:p w14:paraId="7E0F1EC1" w14:textId="6AFDA81B" w:rsidR="00EA38E7" w:rsidRPr="002F6A24" w:rsidRDefault="002F6A24" w:rsidP="00EA38E7">
            <w:pPr>
              <w:rPr>
                <w:sz w:val="22"/>
                <w:szCs w:val="20"/>
                <w:highlight w:val="yellow"/>
              </w:rPr>
            </w:pPr>
            <w:r w:rsidRPr="002F6A24">
              <w:rPr>
                <w:sz w:val="22"/>
                <w:szCs w:val="20"/>
              </w:rPr>
              <w:t xml:space="preserve">No se remitió soportes de avance frente a esta actividad. </w:t>
            </w:r>
            <w:r w:rsidRPr="002F6A24">
              <w:rPr>
                <w:sz w:val="22"/>
                <w:szCs w:val="20"/>
              </w:rPr>
              <w:t xml:space="preserve">  </w:t>
            </w:r>
            <w:r w:rsidRPr="002F6A24">
              <w:rPr>
                <w:sz w:val="22"/>
                <w:szCs w:val="20"/>
              </w:rPr>
              <w:t xml:space="preserve">Se verifico en el aplicativo GOOBI Módulo Almacén - Altas el ingreso No. 02 del mes de abril por $251.264, correspondiente a elementos de aseo y </w:t>
            </w:r>
            <w:r w:rsidRPr="002F6A24">
              <w:rPr>
                <w:sz w:val="22"/>
                <w:szCs w:val="20"/>
              </w:rPr>
              <w:t>cafetería</w:t>
            </w:r>
            <w:r w:rsidRPr="002F6A24">
              <w:rPr>
                <w:sz w:val="22"/>
                <w:szCs w:val="20"/>
              </w:rPr>
              <w:t>.</w:t>
            </w:r>
          </w:p>
        </w:tc>
      </w:tr>
      <w:tr w:rsidR="00EA38E7" w14:paraId="16DFAC26" w14:textId="77777777" w:rsidTr="00EA38E7">
        <w:tc>
          <w:tcPr>
            <w:tcW w:w="4414" w:type="dxa"/>
          </w:tcPr>
          <w:p w14:paraId="37C4DAB9" w14:textId="77777777" w:rsidR="00EA38E7" w:rsidRPr="00BD78B2" w:rsidRDefault="00EA38E7" w:rsidP="00EA38E7">
            <w:pPr>
              <w:rPr>
                <w:sz w:val="22"/>
                <w:szCs w:val="20"/>
              </w:rPr>
            </w:pPr>
            <w:r w:rsidRPr="00BD78B2">
              <w:rPr>
                <w:sz w:val="22"/>
                <w:szCs w:val="20"/>
              </w:rPr>
              <w:t xml:space="preserve">Enviar mediante correo electrónico, informe de los activos intangibles generados internamente, que tengan asociados gastos durante el período de desarrollo, este reporte se remite </w:t>
            </w:r>
            <w:r w:rsidR="00BD78B2" w:rsidRPr="00BD78B2">
              <w:rPr>
                <w:sz w:val="22"/>
                <w:szCs w:val="20"/>
              </w:rPr>
              <w:t>únicamente</w:t>
            </w:r>
            <w:r w:rsidRPr="00BD78B2">
              <w:rPr>
                <w:sz w:val="22"/>
                <w:szCs w:val="20"/>
              </w:rPr>
              <w:t xml:space="preserve"> cuando ocurra el evento.</w:t>
            </w:r>
          </w:p>
        </w:tc>
        <w:tc>
          <w:tcPr>
            <w:tcW w:w="4414" w:type="dxa"/>
          </w:tcPr>
          <w:p w14:paraId="1607B564" w14:textId="5352D425" w:rsidR="008465E3" w:rsidRPr="002F6A24" w:rsidRDefault="001A512A" w:rsidP="00BD78B2">
            <w:pPr>
              <w:rPr>
                <w:sz w:val="22"/>
                <w:szCs w:val="20"/>
              </w:rPr>
            </w:pPr>
            <w:r w:rsidRPr="002F6A24">
              <w:rPr>
                <w:sz w:val="22"/>
                <w:szCs w:val="20"/>
              </w:rPr>
              <w:t xml:space="preserve">No se remitió soportes de avance frente a esta actividad. </w:t>
            </w:r>
          </w:p>
          <w:p w14:paraId="40C66A10" w14:textId="42BC1B96" w:rsidR="00EA38E7" w:rsidRPr="00813D20" w:rsidRDefault="00EA38E7" w:rsidP="00BD78B2">
            <w:pPr>
              <w:rPr>
                <w:sz w:val="22"/>
                <w:szCs w:val="20"/>
                <w:highlight w:val="yellow"/>
              </w:rPr>
            </w:pPr>
          </w:p>
        </w:tc>
      </w:tr>
      <w:tr w:rsidR="00EA38E7" w14:paraId="55ED91AB" w14:textId="77777777" w:rsidTr="008465E3">
        <w:trPr>
          <w:trHeight w:val="1451"/>
        </w:trPr>
        <w:tc>
          <w:tcPr>
            <w:tcW w:w="4414" w:type="dxa"/>
          </w:tcPr>
          <w:p w14:paraId="1DDBFA75" w14:textId="77777777" w:rsidR="00EA38E7" w:rsidRPr="00BD78B2" w:rsidRDefault="00BD78B2" w:rsidP="00EA38E7">
            <w:pPr>
              <w:rPr>
                <w:sz w:val="22"/>
                <w:szCs w:val="20"/>
              </w:rPr>
            </w:pPr>
            <w:r w:rsidRPr="00BD78B2">
              <w:rPr>
                <w:sz w:val="22"/>
                <w:szCs w:val="20"/>
              </w:rPr>
              <w:t>Enviar por medio de correo electrónico el informe del levantamiento del inventario físico anual de activos fijos e intangibles, debidamente conciliado con los saldos de almacén</w:t>
            </w:r>
            <w:r w:rsidR="008465E3">
              <w:rPr>
                <w:sz w:val="22"/>
                <w:szCs w:val="20"/>
              </w:rPr>
              <w:t>.</w:t>
            </w:r>
          </w:p>
        </w:tc>
        <w:tc>
          <w:tcPr>
            <w:tcW w:w="4414" w:type="dxa"/>
          </w:tcPr>
          <w:p w14:paraId="1B242D61" w14:textId="6FB8895A" w:rsidR="002F6A24" w:rsidRPr="002F6A24" w:rsidRDefault="00A83088" w:rsidP="00EA38E7">
            <w:pPr>
              <w:rPr>
                <w:sz w:val="22"/>
                <w:szCs w:val="20"/>
              </w:rPr>
            </w:pPr>
            <w:r>
              <w:rPr>
                <w:sz w:val="22"/>
                <w:szCs w:val="20"/>
              </w:rPr>
              <w:t>Se verificó por parte de esta Oficina el cumplimiento el reporte de l</w:t>
            </w:r>
            <w:r w:rsidR="00012992" w:rsidRPr="00012992">
              <w:rPr>
                <w:sz w:val="22"/>
                <w:szCs w:val="20"/>
              </w:rPr>
              <w:t xml:space="preserve">a información en la cuenta anual de la </w:t>
            </w:r>
            <w:r w:rsidR="00012992" w:rsidRPr="00012992">
              <w:rPr>
                <w:sz w:val="22"/>
                <w:szCs w:val="20"/>
              </w:rPr>
              <w:t>Contraloría</w:t>
            </w:r>
            <w:r w:rsidR="00012992" w:rsidRPr="00012992">
              <w:rPr>
                <w:sz w:val="22"/>
                <w:szCs w:val="20"/>
              </w:rPr>
              <w:t xml:space="preserve"> de Bogotá, mediante formato CBN 1026 Inventario Físico a diciembre de 2020.</w:t>
            </w:r>
          </w:p>
        </w:tc>
      </w:tr>
      <w:tr w:rsidR="00012992" w14:paraId="68843539" w14:textId="77777777" w:rsidTr="00EA38E7">
        <w:tc>
          <w:tcPr>
            <w:tcW w:w="4414" w:type="dxa"/>
          </w:tcPr>
          <w:p w14:paraId="15FA2624" w14:textId="77777777" w:rsidR="00012992" w:rsidRPr="00BD78B2" w:rsidRDefault="00012992" w:rsidP="00012992">
            <w:pPr>
              <w:rPr>
                <w:sz w:val="22"/>
                <w:szCs w:val="20"/>
              </w:rPr>
            </w:pPr>
            <w:r w:rsidRPr="00BD78B2">
              <w:rPr>
                <w:sz w:val="22"/>
                <w:szCs w:val="20"/>
              </w:rPr>
              <w:t>Enviar por medio de correo electrónico el informe del levantamiento del inventario físico anual de activos fijos e intangibles, donde se evidencie el estado físico de los bienes, a fin de determinar si alguno presenta deterioro.</w:t>
            </w:r>
          </w:p>
        </w:tc>
        <w:tc>
          <w:tcPr>
            <w:tcW w:w="4414" w:type="dxa"/>
          </w:tcPr>
          <w:p w14:paraId="3895DE76" w14:textId="36008DA8" w:rsidR="00012992" w:rsidRPr="00813D20" w:rsidRDefault="00012992" w:rsidP="00012992">
            <w:pPr>
              <w:rPr>
                <w:sz w:val="22"/>
                <w:szCs w:val="20"/>
                <w:highlight w:val="yellow"/>
              </w:rPr>
            </w:pPr>
            <w:r w:rsidRPr="002F6A24">
              <w:rPr>
                <w:sz w:val="22"/>
                <w:szCs w:val="20"/>
              </w:rPr>
              <w:t>Se verificó por parte de esta Oficina en las notas de los estados financieros del año 2020 publicados en el link:</w:t>
            </w:r>
            <w:r>
              <w:rPr>
                <w:sz w:val="22"/>
                <w:szCs w:val="20"/>
              </w:rPr>
              <w:t xml:space="preserve"> </w:t>
            </w:r>
            <w:hyperlink r:id="rId11" w:history="1">
              <w:r w:rsidRPr="004D6E00">
                <w:rPr>
                  <w:rStyle w:val="Hipervnculo"/>
                  <w:sz w:val="16"/>
                  <w:szCs w:val="14"/>
                </w:rPr>
                <w:t>http://www.idep.edu.co/sites/default/files/Notas%20IDEP%202020_0.pdf</w:t>
              </w:r>
            </w:hyperlink>
            <w:r>
              <w:rPr>
                <w:sz w:val="14"/>
                <w:szCs w:val="12"/>
              </w:rPr>
              <w:t xml:space="preserve"> </w:t>
            </w:r>
            <w:r w:rsidRPr="00012992">
              <w:rPr>
                <w:sz w:val="22"/>
                <w:szCs w:val="20"/>
              </w:rPr>
              <w:t>se documentó</w:t>
            </w:r>
            <w:r>
              <w:rPr>
                <w:sz w:val="22"/>
                <w:szCs w:val="20"/>
              </w:rPr>
              <w:t xml:space="preserve"> frente al Deterioro</w:t>
            </w:r>
            <w:r w:rsidRPr="00012992">
              <w:rPr>
                <w:sz w:val="22"/>
                <w:szCs w:val="20"/>
              </w:rPr>
              <w:t>: "Con corte al 31 de diciembre de 2020, se revisaron los indicios de deterioro para el grupo de activos intangibles cuyo costo individual, estaba por encima de 35 SMMLV, los cuales no presentaron ningún registro a efectuar por este concepto"</w:t>
            </w:r>
          </w:p>
        </w:tc>
      </w:tr>
    </w:tbl>
    <w:p w14:paraId="32FABC2D" w14:textId="77777777" w:rsidR="00EA38E7" w:rsidRDefault="00EA38E7" w:rsidP="00EA38E7">
      <w:pPr>
        <w:rPr>
          <w:b/>
          <w:bCs/>
        </w:rPr>
      </w:pPr>
    </w:p>
    <w:p w14:paraId="1AC4F55D" w14:textId="77777777" w:rsidR="008465E3" w:rsidRPr="00761557" w:rsidRDefault="008465E3" w:rsidP="00761557">
      <w:pPr>
        <w:pStyle w:val="Prrafodelista"/>
        <w:numPr>
          <w:ilvl w:val="1"/>
          <w:numId w:val="6"/>
        </w:numPr>
        <w:rPr>
          <w:b/>
          <w:bCs/>
        </w:rPr>
      </w:pPr>
      <w:r w:rsidRPr="00761557">
        <w:rPr>
          <w:b/>
          <w:bCs/>
        </w:rPr>
        <w:t xml:space="preserve">Beneficios a empleados. </w:t>
      </w:r>
    </w:p>
    <w:p w14:paraId="1105A191" w14:textId="01EA95DA" w:rsidR="00750BFD" w:rsidRDefault="004C4471" w:rsidP="004C4471">
      <w:r w:rsidRPr="004C4471">
        <w:t>Para este capítulo contable se establecieron las siguientes actividades</w:t>
      </w:r>
      <w:r>
        <w:t>,</w:t>
      </w:r>
      <w:r w:rsidR="00012992">
        <w:t xml:space="preserve"> se presentan las siguientes observaciones</w:t>
      </w:r>
      <w:r w:rsidRPr="004C4471">
        <w:t>:</w:t>
      </w:r>
    </w:p>
    <w:p w14:paraId="1F836FCA" w14:textId="77777777" w:rsidR="00750BFD" w:rsidRDefault="00750BFD">
      <w:pPr>
        <w:spacing w:after="160" w:line="259" w:lineRule="auto"/>
        <w:jc w:val="left"/>
      </w:pPr>
      <w:r>
        <w:br w:type="page"/>
      </w:r>
    </w:p>
    <w:tbl>
      <w:tblPr>
        <w:tblStyle w:val="Tablaconcuadrcula"/>
        <w:tblW w:w="9924" w:type="dxa"/>
        <w:tblInd w:w="-431" w:type="dxa"/>
        <w:tblLook w:val="04A0" w:firstRow="1" w:lastRow="0" w:firstColumn="1" w:lastColumn="0" w:noHBand="0" w:noVBand="1"/>
      </w:tblPr>
      <w:tblGrid>
        <w:gridCol w:w="4414"/>
        <w:gridCol w:w="5510"/>
      </w:tblGrid>
      <w:tr w:rsidR="00B934EE" w:rsidRPr="00B934EE" w14:paraId="4353FFD3" w14:textId="77777777" w:rsidTr="00750BFD">
        <w:tc>
          <w:tcPr>
            <w:tcW w:w="4414" w:type="dxa"/>
          </w:tcPr>
          <w:p w14:paraId="2014002C" w14:textId="77777777" w:rsidR="00B934EE" w:rsidRPr="00B934EE" w:rsidRDefault="00B934EE" w:rsidP="00B934EE">
            <w:pPr>
              <w:jc w:val="center"/>
              <w:rPr>
                <w:b/>
                <w:bCs/>
                <w:sz w:val="22"/>
                <w:szCs w:val="20"/>
              </w:rPr>
            </w:pPr>
            <w:r w:rsidRPr="00B934EE">
              <w:rPr>
                <w:b/>
                <w:bCs/>
                <w:sz w:val="22"/>
                <w:szCs w:val="20"/>
              </w:rPr>
              <w:lastRenderedPageBreak/>
              <w:t>ACTIVIDAD</w:t>
            </w:r>
          </w:p>
        </w:tc>
        <w:tc>
          <w:tcPr>
            <w:tcW w:w="5510" w:type="dxa"/>
          </w:tcPr>
          <w:p w14:paraId="3A575491" w14:textId="15DE6746" w:rsidR="00B934EE" w:rsidRPr="00B934EE" w:rsidRDefault="00A83088" w:rsidP="00B934EE">
            <w:pPr>
              <w:jc w:val="center"/>
              <w:rPr>
                <w:b/>
                <w:bCs/>
                <w:sz w:val="22"/>
                <w:szCs w:val="20"/>
              </w:rPr>
            </w:pPr>
            <w:r>
              <w:rPr>
                <w:b/>
                <w:bCs/>
                <w:sz w:val="22"/>
                <w:szCs w:val="20"/>
              </w:rPr>
              <w:t>SEGUIMIENTO OCI</w:t>
            </w:r>
          </w:p>
        </w:tc>
      </w:tr>
      <w:tr w:rsidR="004C4471" w:rsidRPr="004C4471" w14:paraId="08E8666D" w14:textId="77777777" w:rsidTr="00750BFD">
        <w:tc>
          <w:tcPr>
            <w:tcW w:w="4414" w:type="dxa"/>
          </w:tcPr>
          <w:p w14:paraId="088A2C34" w14:textId="77777777" w:rsidR="004C4471" w:rsidRPr="004C4471" w:rsidRDefault="004C4471" w:rsidP="004C4471">
            <w:pPr>
              <w:rPr>
                <w:sz w:val="22"/>
                <w:szCs w:val="20"/>
              </w:rPr>
            </w:pPr>
            <w:r w:rsidRPr="004C4471">
              <w:rPr>
                <w:sz w:val="22"/>
                <w:szCs w:val="20"/>
              </w:rPr>
              <w:t>Enviar informe mensual emitido desde el aplicativo de nómina (HUMANO), donde se evidencien las prestaciones sociales, (vacaciones, cesantías, intereses de cesantías y primas y otros conceptos que apliquen), registradas en el aplicativo contable y detalladas por tercero.</w:t>
            </w:r>
          </w:p>
        </w:tc>
        <w:tc>
          <w:tcPr>
            <w:tcW w:w="5510" w:type="dxa"/>
          </w:tcPr>
          <w:p w14:paraId="0AB6A75C" w14:textId="671DEDC3" w:rsidR="00012992" w:rsidRPr="00012992" w:rsidRDefault="00012992" w:rsidP="00012992">
            <w:pPr>
              <w:spacing w:after="0" w:line="240" w:lineRule="auto"/>
              <w:rPr>
                <w:sz w:val="22"/>
                <w:szCs w:val="20"/>
              </w:rPr>
            </w:pPr>
            <w:r w:rsidRPr="00012992">
              <w:rPr>
                <w:sz w:val="22"/>
                <w:szCs w:val="20"/>
              </w:rPr>
              <w:t>No se remit</w:t>
            </w:r>
            <w:r w:rsidRPr="00012992">
              <w:rPr>
                <w:sz w:val="22"/>
                <w:szCs w:val="20"/>
              </w:rPr>
              <w:t>ió</w:t>
            </w:r>
            <w:r w:rsidRPr="00012992">
              <w:rPr>
                <w:sz w:val="22"/>
                <w:szCs w:val="20"/>
              </w:rPr>
              <w:t xml:space="preserve"> avances y soportes frente a esta actividad. </w:t>
            </w:r>
          </w:p>
          <w:p w14:paraId="37CE859B" w14:textId="01EF44F7" w:rsidR="004C4471" w:rsidRPr="004C4471" w:rsidRDefault="004C4471" w:rsidP="00215306">
            <w:pPr>
              <w:rPr>
                <w:sz w:val="22"/>
                <w:szCs w:val="20"/>
              </w:rPr>
            </w:pPr>
          </w:p>
        </w:tc>
      </w:tr>
      <w:tr w:rsidR="004C4471" w:rsidRPr="004C4471" w14:paraId="702038C9" w14:textId="77777777" w:rsidTr="00750BFD">
        <w:tc>
          <w:tcPr>
            <w:tcW w:w="4414" w:type="dxa"/>
          </w:tcPr>
          <w:p w14:paraId="56AE1247" w14:textId="77777777" w:rsidR="004C4471" w:rsidRPr="004C4471" w:rsidRDefault="004B17D6" w:rsidP="00215306">
            <w:pPr>
              <w:rPr>
                <w:sz w:val="22"/>
                <w:szCs w:val="20"/>
              </w:rPr>
            </w:pPr>
            <w:r w:rsidRPr="004B17D6">
              <w:rPr>
                <w:sz w:val="22"/>
                <w:szCs w:val="20"/>
              </w:rPr>
              <w:t>Enviar conciliación mensual de los valores pagados por aportes) de acuerdo con lo liquidado por el operador), frente a los liquidados en el aplicativo de nómina, justificando las diferencias y los saldos por pagar, con cada tercero</w:t>
            </w:r>
          </w:p>
        </w:tc>
        <w:tc>
          <w:tcPr>
            <w:tcW w:w="5510" w:type="dxa"/>
          </w:tcPr>
          <w:p w14:paraId="6F000DD9" w14:textId="0E6E71E2" w:rsidR="004C4471" w:rsidRPr="004C4471" w:rsidRDefault="00A83088" w:rsidP="00215306">
            <w:pPr>
              <w:rPr>
                <w:sz w:val="22"/>
                <w:szCs w:val="20"/>
              </w:rPr>
            </w:pPr>
            <w:r w:rsidRPr="00A83088">
              <w:rPr>
                <w:b/>
                <w:bCs/>
                <w:sz w:val="22"/>
                <w:szCs w:val="20"/>
              </w:rPr>
              <w:t>OBSERVACIÓN No.</w:t>
            </w:r>
            <w:r w:rsidR="0055502B">
              <w:rPr>
                <w:b/>
                <w:bCs/>
                <w:sz w:val="22"/>
                <w:szCs w:val="20"/>
              </w:rPr>
              <w:t xml:space="preserve"> </w:t>
            </w:r>
            <w:r w:rsidRPr="00A83088">
              <w:rPr>
                <w:b/>
                <w:bCs/>
                <w:sz w:val="22"/>
                <w:szCs w:val="20"/>
              </w:rPr>
              <w:t>02.</w:t>
            </w:r>
            <w:r>
              <w:rPr>
                <w:sz w:val="22"/>
                <w:szCs w:val="20"/>
              </w:rPr>
              <w:t xml:space="preserve"> </w:t>
            </w:r>
            <w:r w:rsidR="00012992" w:rsidRPr="00012992">
              <w:rPr>
                <w:sz w:val="22"/>
                <w:szCs w:val="20"/>
              </w:rPr>
              <w:t>Se recomienda revisar el formato de conciliación, toda vez que el excel remitido se encuentra diligenciado sobre la planilla de aportes de compensar, no tiene fecha de elaboración, quien elabora, quien aprueba</w:t>
            </w:r>
            <w:r w:rsidR="003D35C2">
              <w:rPr>
                <w:sz w:val="22"/>
                <w:szCs w:val="20"/>
              </w:rPr>
              <w:t xml:space="preserve"> por contabilidad y por nómina</w:t>
            </w:r>
            <w:r w:rsidR="00012992" w:rsidRPr="00012992">
              <w:rPr>
                <w:sz w:val="22"/>
                <w:szCs w:val="20"/>
              </w:rPr>
              <w:t xml:space="preserve">, contra que información se </w:t>
            </w:r>
            <w:r w:rsidR="00012992" w:rsidRPr="00012992">
              <w:rPr>
                <w:sz w:val="22"/>
                <w:szCs w:val="20"/>
              </w:rPr>
              <w:t>está</w:t>
            </w:r>
            <w:r w:rsidR="00012992" w:rsidRPr="00012992">
              <w:rPr>
                <w:sz w:val="22"/>
                <w:szCs w:val="20"/>
              </w:rPr>
              <w:t xml:space="preserve"> comparando los datos, no se encuentra </w:t>
            </w:r>
            <w:r w:rsidR="00012992" w:rsidRPr="00012992">
              <w:rPr>
                <w:sz w:val="22"/>
                <w:szCs w:val="20"/>
              </w:rPr>
              <w:t>formulad</w:t>
            </w:r>
            <w:r w:rsidR="00012992">
              <w:rPr>
                <w:sz w:val="22"/>
                <w:szCs w:val="20"/>
              </w:rPr>
              <w:t>a la totalidad del archivo las diferencias presentadas son datos digitados</w:t>
            </w:r>
            <w:r w:rsidR="00012992" w:rsidRPr="00012992">
              <w:rPr>
                <w:sz w:val="22"/>
                <w:szCs w:val="20"/>
              </w:rPr>
              <w:t xml:space="preserve">, en las diferencias registradas no se detalla a que corresponden y de donde se origina la </w:t>
            </w:r>
            <w:r w:rsidR="00012992">
              <w:rPr>
                <w:sz w:val="22"/>
                <w:szCs w:val="20"/>
              </w:rPr>
              <w:t>misma</w:t>
            </w:r>
            <w:r w:rsidR="00012992" w:rsidRPr="00012992">
              <w:rPr>
                <w:sz w:val="22"/>
                <w:szCs w:val="20"/>
              </w:rPr>
              <w:t xml:space="preserve">.  Es importante resaltar que estos archivos permiten </w:t>
            </w:r>
            <w:r w:rsidR="003D35C2">
              <w:rPr>
                <w:sz w:val="22"/>
                <w:szCs w:val="20"/>
              </w:rPr>
              <w:t xml:space="preserve">generar actividades de </w:t>
            </w:r>
            <w:r w:rsidR="00012992" w:rsidRPr="00012992">
              <w:rPr>
                <w:sz w:val="22"/>
                <w:szCs w:val="20"/>
              </w:rPr>
              <w:t>asegura</w:t>
            </w:r>
            <w:r w:rsidR="003D35C2">
              <w:rPr>
                <w:sz w:val="22"/>
                <w:szCs w:val="20"/>
              </w:rPr>
              <w:t>miento</w:t>
            </w:r>
            <w:r w:rsidR="00012992" w:rsidRPr="00012992">
              <w:rPr>
                <w:sz w:val="22"/>
                <w:szCs w:val="20"/>
              </w:rPr>
              <w:t xml:space="preserve"> y razonabilidad de la información contable</w:t>
            </w:r>
            <w:r w:rsidR="003D35C2">
              <w:rPr>
                <w:sz w:val="22"/>
                <w:szCs w:val="20"/>
              </w:rPr>
              <w:t xml:space="preserve">, además de </w:t>
            </w:r>
            <w:r w:rsidR="00012992" w:rsidRPr="00012992">
              <w:rPr>
                <w:sz w:val="22"/>
                <w:szCs w:val="20"/>
              </w:rPr>
              <w:t xml:space="preserve">contar con la trazabilidad de la gestión adelantada por las áreas cuando se presentan diferencias. </w:t>
            </w:r>
          </w:p>
        </w:tc>
      </w:tr>
      <w:tr w:rsidR="004B17D6" w:rsidRPr="004C4471" w14:paraId="4C1BD558" w14:textId="77777777" w:rsidTr="00750BFD">
        <w:tc>
          <w:tcPr>
            <w:tcW w:w="4414" w:type="dxa"/>
          </w:tcPr>
          <w:p w14:paraId="1F2F7A12" w14:textId="77777777" w:rsidR="004B17D6" w:rsidRPr="004B17D6" w:rsidRDefault="004B17D6" w:rsidP="00215306">
            <w:pPr>
              <w:rPr>
                <w:sz w:val="22"/>
                <w:szCs w:val="20"/>
              </w:rPr>
            </w:pPr>
            <w:r w:rsidRPr="004B17D6">
              <w:rPr>
                <w:sz w:val="22"/>
                <w:szCs w:val="20"/>
              </w:rPr>
              <w:t>Enviar informe de la cuantía de la obligación total al finalizar el periodo contable, por concepto de los beneficios a empleados a corto plazo, individualizado por cada servidor público. (Prestaciones Sociales)</w:t>
            </w:r>
          </w:p>
        </w:tc>
        <w:tc>
          <w:tcPr>
            <w:tcW w:w="5510" w:type="dxa"/>
          </w:tcPr>
          <w:p w14:paraId="7B6AD289" w14:textId="306F776E" w:rsidR="004B17D6" w:rsidRPr="004B17D6" w:rsidRDefault="003D35C2" w:rsidP="00215306">
            <w:pPr>
              <w:rPr>
                <w:sz w:val="22"/>
                <w:szCs w:val="20"/>
              </w:rPr>
            </w:pPr>
            <w:r w:rsidRPr="003D35C2">
              <w:rPr>
                <w:sz w:val="22"/>
                <w:szCs w:val="20"/>
              </w:rPr>
              <w:t xml:space="preserve">Se verificó por parte de esta Oficina en las notas a los estados financieros vigencia 2020, el detalle del registro contable de los beneficios a empleados; no se anexo soportes para verificación de la información mensual.  El archivo enviado "CORREO-IDEP PROVISIONES ABRIL DE 2021 " del 05 de </w:t>
            </w:r>
            <w:r w:rsidRPr="003D35C2">
              <w:rPr>
                <w:sz w:val="22"/>
                <w:szCs w:val="20"/>
              </w:rPr>
              <w:t>abril</w:t>
            </w:r>
            <w:r>
              <w:rPr>
                <w:sz w:val="22"/>
                <w:szCs w:val="20"/>
              </w:rPr>
              <w:t xml:space="preserve"> de 2021</w:t>
            </w:r>
            <w:r w:rsidRPr="003D35C2">
              <w:rPr>
                <w:sz w:val="22"/>
                <w:szCs w:val="20"/>
              </w:rPr>
              <w:t xml:space="preserve"> corresponde</w:t>
            </w:r>
            <w:r w:rsidRPr="003D35C2">
              <w:rPr>
                <w:sz w:val="22"/>
                <w:szCs w:val="20"/>
              </w:rPr>
              <w:t xml:space="preserve"> a información asociada al control de incapacidades en gestión con corte a 30 de abril de 2021.</w:t>
            </w:r>
          </w:p>
        </w:tc>
      </w:tr>
      <w:tr w:rsidR="004B17D6" w:rsidRPr="004C4471" w14:paraId="5F67F696" w14:textId="77777777" w:rsidTr="00750BFD">
        <w:tc>
          <w:tcPr>
            <w:tcW w:w="4414" w:type="dxa"/>
          </w:tcPr>
          <w:p w14:paraId="62D4694F" w14:textId="77777777" w:rsidR="004B17D6" w:rsidRPr="004B17D6" w:rsidRDefault="004B17D6" w:rsidP="00215306">
            <w:pPr>
              <w:rPr>
                <w:sz w:val="22"/>
                <w:szCs w:val="20"/>
              </w:rPr>
            </w:pPr>
            <w:r w:rsidRPr="004B17D6">
              <w:rPr>
                <w:sz w:val="22"/>
                <w:szCs w:val="20"/>
              </w:rPr>
              <w:t>Enviar informe de la cuantía de la obligación total al finalizar el periodo contable, por concepto de los beneficios a empleados a largo plazo, individualizado por cada servidor público.</w:t>
            </w:r>
          </w:p>
        </w:tc>
        <w:tc>
          <w:tcPr>
            <w:tcW w:w="5510" w:type="dxa"/>
          </w:tcPr>
          <w:p w14:paraId="09D8DB76" w14:textId="6C232A4A" w:rsidR="004B17D6" w:rsidRPr="00813D20" w:rsidRDefault="003D35C2" w:rsidP="00813D20">
            <w:pPr>
              <w:rPr>
                <w:sz w:val="22"/>
                <w:szCs w:val="20"/>
                <w:highlight w:val="yellow"/>
              </w:rPr>
            </w:pPr>
            <w:r w:rsidRPr="003D35C2">
              <w:rPr>
                <w:sz w:val="22"/>
                <w:szCs w:val="20"/>
              </w:rPr>
              <w:t>Se verificó por parte de esta Oficina en las notas a los estados financieros vigencia 2020, el detalle del registro contable de los beneficios a empleados; no se anexo soportes para verificación de la información.</w:t>
            </w:r>
          </w:p>
        </w:tc>
      </w:tr>
    </w:tbl>
    <w:p w14:paraId="3D45A386" w14:textId="77777777" w:rsidR="004F500C" w:rsidRPr="00761557" w:rsidRDefault="004F500C" w:rsidP="00761557">
      <w:pPr>
        <w:pStyle w:val="Prrafodelista"/>
        <w:numPr>
          <w:ilvl w:val="1"/>
          <w:numId w:val="6"/>
        </w:numPr>
        <w:rPr>
          <w:b/>
          <w:bCs/>
        </w:rPr>
      </w:pPr>
      <w:r w:rsidRPr="00761557">
        <w:rPr>
          <w:b/>
          <w:bCs/>
        </w:rPr>
        <w:lastRenderedPageBreak/>
        <w:t>Activos y pasivos contingentes:</w:t>
      </w:r>
    </w:p>
    <w:p w14:paraId="14F74154" w14:textId="77777777" w:rsidR="002606E4" w:rsidRDefault="004F500C" w:rsidP="006C5144">
      <w:r>
        <w:t xml:space="preserve">Para este capitulo se </w:t>
      </w:r>
      <w:r w:rsidR="003D35C2">
        <w:t>remitió soporte de conciliación a 30 de abril de 2021 firmado por el contador de la Entidad</w:t>
      </w:r>
      <w:r w:rsidR="002606E4">
        <w:t>.</w:t>
      </w:r>
      <w:r w:rsidR="003D35C2">
        <w:t xml:space="preserve"> </w:t>
      </w:r>
    </w:p>
    <w:p w14:paraId="1321E4A9" w14:textId="77777777" w:rsidR="002606E4" w:rsidRDefault="002606E4" w:rsidP="006C5144">
      <w:r w:rsidRPr="002606E4">
        <w:rPr>
          <w:b/>
          <w:bCs/>
        </w:rPr>
        <w:t>Observación No. 03</w:t>
      </w:r>
      <w:r>
        <w:t>: S</w:t>
      </w:r>
      <w:r w:rsidR="003D35C2">
        <w:t xml:space="preserve">e recomienda </w:t>
      </w:r>
      <w:r w:rsidR="003D35C2" w:rsidRPr="003D35C2">
        <w:t xml:space="preserve">revisar el indicador propuesto para esta actividad toda vez que se estableció un informe trimestral de litigios y demandas en contra de la Entidad, no se remitió evidencia del </w:t>
      </w:r>
      <w:r>
        <w:t xml:space="preserve">cumplimiento de </w:t>
      </w:r>
      <w:r w:rsidR="003D35C2" w:rsidRPr="003D35C2">
        <w:t>este indicador.</w:t>
      </w:r>
    </w:p>
    <w:p w14:paraId="762E302D" w14:textId="4068E4E4" w:rsidR="00DA27AB" w:rsidRDefault="003D35C2" w:rsidP="006C5144">
      <w:r>
        <w:rPr>
          <w:b/>
          <w:bCs/>
        </w:rPr>
        <w:t xml:space="preserve"> </w:t>
      </w:r>
    </w:p>
    <w:p w14:paraId="64FB2170" w14:textId="77777777" w:rsidR="00860488" w:rsidRPr="00761557" w:rsidRDefault="00860488" w:rsidP="00761557">
      <w:pPr>
        <w:pStyle w:val="Prrafodelista"/>
        <w:numPr>
          <w:ilvl w:val="1"/>
          <w:numId w:val="6"/>
        </w:numPr>
        <w:rPr>
          <w:b/>
          <w:bCs/>
        </w:rPr>
      </w:pPr>
      <w:r w:rsidRPr="00761557">
        <w:rPr>
          <w:b/>
          <w:bCs/>
        </w:rPr>
        <w:t>Cuentas por Pagar en Tesorería</w:t>
      </w:r>
    </w:p>
    <w:p w14:paraId="113E9F88" w14:textId="663D35F5" w:rsidR="00860488" w:rsidRDefault="002606E4" w:rsidP="00860488">
      <w:r>
        <w:t>E</w:t>
      </w:r>
      <w:r w:rsidRPr="002606E4">
        <w:t xml:space="preserve">sta información se reporta mensualmente a la </w:t>
      </w:r>
      <w:r w:rsidRPr="002606E4">
        <w:t>Contraloría</w:t>
      </w:r>
      <w:r w:rsidRPr="002606E4">
        <w:t xml:space="preserve"> de Bogotá, por parte de la </w:t>
      </w:r>
      <w:r w:rsidRPr="002606E4">
        <w:t>Tesorería</w:t>
      </w:r>
      <w:r w:rsidRPr="002606E4">
        <w:t xml:space="preserve"> de la Entidad en el formato CB-</w:t>
      </w:r>
      <w:r w:rsidRPr="002606E4">
        <w:t>0003 EJECUCION</w:t>
      </w:r>
      <w:r w:rsidRPr="002606E4">
        <w:t xml:space="preserve"> CUENTAS POR PAGAR.</w:t>
      </w:r>
      <w:r>
        <w:t xml:space="preserve"> </w:t>
      </w:r>
    </w:p>
    <w:p w14:paraId="2A7ACFB7" w14:textId="77777777" w:rsidR="003346E8" w:rsidRDefault="003346E8" w:rsidP="00860488"/>
    <w:p w14:paraId="511FF033" w14:textId="33ABD243" w:rsidR="002606E4" w:rsidRDefault="00860488" w:rsidP="002606E4">
      <w:pPr>
        <w:pStyle w:val="Prrafodelista"/>
        <w:numPr>
          <w:ilvl w:val="1"/>
          <w:numId w:val="6"/>
        </w:numPr>
        <w:rPr>
          <w:b/>
          <w:bCs/>
        </w:rPr>
      </w:pPr>
      <w:r w:rsidRPr="00761557">
        <w:rPr>
          <w:b/>
          <w:bCs/>
        </w:rPr>
        <w:t>Ejecuci</w:t>
      </w:r>
      <w:r w:rsidR="002606E4">
        <w:rPr>
          <w:b/>
          <w:bCs/>
        </w:rPr>
        <w:t>ón</w:t>
      </w:r>
      <w:r w:rsidRPr="00761557">
        <w:rPr>
          <w:b/>
          <w:bCs/>
        </w:rPr>
        <w:t xml:space="preserve"> Presupuestal</w:t>
      </w:r>
      <w:r w:rsidR="002606E4">
        <w:rPr>
          <w:b/>
          <w:bCs/>
        </w:rPr>
        <w:t>.</w:t>
      </w:r>
    </w:p>
    <w:p w14:paraId="5A35F92D" w14:textId="77777777" w:rsidR="002606E4" w:rsidRDefault="002606E4" w:rsidP="002606E4">
      <w:pPr>
        <w:pStyle w:val="Prrafodelista"/>
        <w:ind w:left="0"/>
        <w:rPr>
          <w:b/>
          <w:bCs/>
        </w:rPr>
      </w:pPr>
    </w:p>
    <w:p w14:paraId="1C7ACA7D" w14:textId="43C344AB" w:rsidR="002606E4" w:rsidRDefault="002606E4" w:rsidP="002606E4">
      <w:pPr>
        <w:pStyle w:val="Prrafodelista"/>
        <w:ind w:left="0"/>
      </w:pPr>
      <w:r w:rsidRPr="002606E4">
        <w:t xml:space="preserve">Se verifica por parte de esta Oficina la publicación mensual de la ejecución financiera </w:t>
      </w:r>
      <w:hyperlink r:id="rId12" w:history="1">
        <w:r w:rsidR="00AD19FC" w:rsidRPr="004D6E00">
          <w:rPr>
            <w:rStyle w:val="Hipervnculo"/>
          </w:rPr>
          <w:t>http://www.idep.edu.co/?q=node/38</w:t>
        </w:r>
      </w:hyperlink>
      <w:r w:rsidRPr="002606E4">
        <w:t>.</w:t>
      </w:r>
    </w:p>
    <w:p w14:paraId="7605FA73" w14:textId="28FEB70D" w:rsidR="00AD19FC" w:rsidRDefault="00AD19FC" w:rsidP="002606E4">
      <w:pPr>
        <w:pStyle w:val="Prrafodelista"/>
        <w:ind w:left="0"/>
      </w:pPr>
    </w:p>
    <w:p w14:paraId="276EBC5E" w14:textId="734323CB" w:rsidR="00AD19FC" w:rsidRDefault="00AD19FC" w:rsidP="00AD19FC">
      <w:pPr>
        <w:pStyle w:val="Prrafodelista"/>
        <w:numPr>
          <w:ilvl w:val="1"/>
          <w:numId w:val="6"/>
        </w:numPr>
        <w:rPr>
          <w:b/>
          <w:bCs/>
        </w:rPr>
      </w:pPr>
      <w:r w:rsidRPr="00AD19FC">
        <w:rPr>
          <w:b/>
          <w:bCs/>
        </w:rPr>
        <w:t xml:space="preserve">Comité Técnico de Sostenibilidad Contable. </w:t>
      </w:r>
    </w:p>
    <w:p w14:paraId="71C1098C" w14:textId="4401348F" w:rsidR="00AD19FC" w:rsidRDefault="0055502B" w:rsidP="00AD19FC">
      <w:r>
        <w:t xml:space="preserve">En </w:t>
      </w:r>
      <w:r>
        <w:t xml:space="preserve">cumplimiento </w:t>
      </w:r>
      <w:r>
        <w:t>de</w:t>
      </w:r>
      <w:r>
        <w:t>l artíc</w:t>
      </w:r>
      <w:r>
        <w:t xml:space="preserve">ulo </w:t>
      </w:r>
      <w:r>
        <w:t>7</w:t>
      </w:r>
      <w:r>
        <w:t>°</w:t>
      </w:r>
      <w:r>
        <w:t xml:space="preserve"> de la Resolución Interna No. 147 de 2018 por la cual se modifica el funcionamiento del Comité Técnico de Sostenibilidad Contable</w:t>
      </w:r>
      <w:r>
        <w:t>, d</w:t>
      </w:r>
      <w:r w:rsidR="00AD19FC">
        <w:t xml:space="preserve">urante la vigencia 2021 el </w:t>
      </w:r>
      <w:r>
        <w:t>c</w:t>
      </w:r>
      <w:r w:rsidR="00AD19FC">
        <w:t>omité sesionó el 12 de febrero de 2021 según acta No. 001</w:t>
      </w:r>
      <w:r>
        <w:t xml:space="preserve">, </w:t>
      </w:r>
      <w:r w:rsidR="00AD19FC">
        <w:t>con el siguiente orden del día:</w:t>
      </w:r>
    </w:p>
    <w:p w14:paraId="45E0CC0D" w14:textId="77777777" w:rsidR="00AD19FC" w:rsidRDefault="00AD19FC" w:rsidP="00AD19FC">
      <w:pPr>
        <w:pStyle w:val="Prrafodelista"/>
        <w:numPr>
          <w:ilvl w:val="0"/>
          <w:numId w:val="14"/>
        </w:numPr>
      </w:pPr>
      <w:r>
        <w:t>Presentación de Estados Financieros a corte de diciembre 31 de 2020-2019</w:t>
      </w:r>
    </w:p>
    <w:p w14:paraId="217E77AF" w14:textId="2316FAB2" w:rsidR="00AD19FC" w:rsidRDefault="00AD19FC" w:rsidP="00AD19FC">
      <w:pPr>
        <w:pStyle w:val="Prrafodelista"/>
        <w:numPr>
          <w:ilvl w:val="0"/>
          <w:numId w:val="14"/>
        </w:numPr>
      </w:pPr>
      <w:r>
        <w:t>Presentación de las gestiones de cobro incapacidades – Compensar EPS</w:t>
      </w:r>
      <w:r w:rsidR="0055502B">
        <w:t>.</w:t>
      </w:r>
    </w:p>
    <w:p w14:paraId="439C4552" w14:textId="0048352E" w:rsidR="0055502B" w:rsidRDefault="0055502B" w:rsidP="0055502B"/>
    <w:p w14:paraId="4F15A0C4" w14:textId="1DD23153" w:rsidR="0055502B" w:rsidRDefault="0055502B" w:rsidP="0055502B">
      <w:r>
        <w:t xml:space="preserve">Se recomienda documentar en el acta los compromisos establecidos para cada sesión con el fin contar con la trazabilidad y seguimiento al cumplimiento de los mismos. </w:t>
      </w:r>
    </w:p>
    <w:p w14:paraId="23BAF247" w14:textId="77777777" w:rsidR="0055502B" w:rsidRPr="00AD19FC" w:rsidRDefault="0055502B" w:rsidP="0055502B"/>
    <w:p w14:paraId="31B14C6E" w14:textId="77777777" w:rsidR="00761557" w:rsidRDefault="00761557" w:rsidP="00761557">
      <w:pPr>
        <w:pStyle w:val="Ttulo4"/>
        <w:numPr>
          <w:ilvl w:val="0"/>
          <w:numId w:val="6"/>
        </w:numPr>
        <w:rPr>
          <w:rFonts w:ascii="Arial" w:hAnsi="Arial" w:cs="Arial"/>
          <w:b/>
          <w:i w:val="0"/>
          <w:color w:val="auto"/>
          <w:szCs w:val="24"/>
        </w:rPr>
      </w:pPr>
      <w:r w:rsidRPr="00AC62FB">
        <w:rPr>
          <w:rFonts w:ascii="Arial" w:hAnsi="Arial" w:cs="Arial"/>
          <w:b/>
          <w:i w:val="0"/>
          <w:color w:val="auto"/>
          <w:szCs w:val="24"/>
        </w:rPr>
        <w:lastRenderedPageBreak/>
        <w:t>CONCLUSIONES</w:t>
      </w:r>
      <w:r>
        <w:rPr>
          <w:rFonts w:ascii="Arial" w:hAnsi="Arial" w:cs="Arial"/>
          <w:b/>
          <w:i w:val="0"/>
          <w:color w:val="auto"/>
          <w:szCs w:val="24"/>
        </w:rPr>
        <w:t>.</w:t>
      </w:r>
    </w:p>
    <w:p w14:paraId="79CDEC7A" w14:textId="77777777" w:rsidR="0091010B" w:rsidRDefault="0091010B" w:rsidP="000C632F">
      <w:pPr>
        <w:pStyle w:val="Ttulo4"/>
      </w:pPr>
    </w:p>
    <w:p w14:paraId="32A28049" w14:textId="32C7AF70" w:rsidR="00750BFD" w:rsidRDefault="002606E4" w:rsidP="00750BFD">
      <w:pPr>
        <w:pStyle w:val="Ttulo4"/>
        <w:rPr>
          <w:rFonts w:ascii="Arial" w:hAnsi="Arial" w:cs="Arial"/>
          <w:i w:val="0"/>
          <w:iCs w:val="0"/>
          <w:color w:val="auto"/>
        </w:rPr>
      </w:pPr>
      <w:r>
        <w:rPr>
          <w:rFonts w:ascii="Arial" w:hAnsi="Arial" w:cs="Arial"/>
          <w:i w:val="0"/>
          <w:iCs w:val="0"/>
          <w:color w:val="auto"/>
        </w:rPr>
        <w:t>La Entidad e</w:t>
      </w:r>
      <w:r w:rsidR="00761557">
        <w:rPr>
          <w:rFonts w:ascii="Arial" w:hAnsi="Arial" w:cs="Arial"/>
          <w:i w:val="0"/>
          <w:iCs w:val="0"/>
          <w:color w:val="auto"/>
        </w:rPr>
        <w:t xml:space="preserve">n términos generales se viene dando cumplimiento a </w:t>
      </w:r>
      <w:r w:rsidR="00761557" w:rsidRPr="00761557">
        <w:rPr>
          <w:rFonts w:ascii="Arial" w:hAnsi="Arial" w:cs="Arial"/>
          <w:i w:val="0"/>
          <w:iCs w:val="0"/>
          <w:color w:val="auto"/>
        </w:rPr>
        <w:t xml:space="preserve">lo establecido en la Resolución No. DDC-000003 del 5 de diciembre de 2018 </w:t>
      </w:r>
      <w:r w:rsidR="00761557" w:rsidRPr="0060198F">
        <w:rPr>
          <w:rFonts w:ascii="Arial" w:hAnsi="Arial" w:cs="Arial"/>
          <w:color w:val="auto"/>
        </w:rPr>
        <w:t>“Por la cual se establecen lineamientos para la sostenibilidad del Sistema Contable Público Distrital”</w:t>
      </w:r>
      <w:r w:rsidR="00761557">
        <w:rPr>
          <w:rFonts w:ascii="Arial" w:hAnsi="Arial" w:cs="Arial"/>
          <w:i w:val="0"/>
          <w:iCs w:val="0"/>
          <w:color w:val="auto"/>
        </w:rPr>
        <w:t xml:space="preserve"> en su artículo 7°</w:t>
      </w:r>
      <w:r w:rsidR="00BE52EE">
        <w:rPr>
          <w:rFonts w:ascii="Arial" w:hAnsi="Arial" w:cs="Arial"/>
          <w:i w:val="0"/>
          <w:iCs w:val="0"/>
          <w:color w:val="auto"/>
        </w:rPr>
        <w:t xml:space="preserve"> - </w:t>
      </w:r>
      <w:r w:rsidR="00761557">
        <w:rPr>
          <w:rFonts w:ascii="Arial" w:hAnsi="Arial" w:cs="Arial"/>
          <w:i w:val="0"/>
          <w:iCs w:val="0"/>
          <w:color w:val="auto"/>
        </w:rPr>
        <w:t>P</w:t>
      </w:r>
      <w:r w:rsidR="00E41934" w:rsidRPr="00761557">
        <w:rPr>
          <w:rFonts w:ascii="Arial" w:hAnsi="Arial" w:cs="Arial"/>
          <w:i w:val="0"/>
          <w:iCs w:val="0"/>
          <w:color w:val="auto"/>
        </w:rPr>
        <w:t>lan de sostenibilidad</w:t>
      </w:r>
      <w:r w:rsidR="00761557">
        <w:rPr>
          <w:rFonts w:ascii="Arial" w:hAnsi="Arial" w:cs="Arial"/>
          <w:i w:val="0"/>
          <w:iCs w:val="0"/>
          <w:color w:val="auto"/>
        </w:rPr>
        <w:t xml:space="preserve">; </w:t>
      </w:r>
      <w:r w:rsidR="00750BFD">
        <w:rPr>
          <w:rFonts w:ascii="Arial" w:hAnsi="Arial" w:cs="Arial"/>
          <w:i w:val="0"/>
          <w:iCs w:val="0"/>
          <w:color w:val="auto"/>
        </w:rPr>
        <w:t>sin embargo,</w:t>
      </w:r>
      <w:r w:rsidR="00BE52EE">
        <w:rPr>
          <w:rFonts w:ascii="Arial" w:hAnsi="Arial" w:cs="Arial"/>
          <w:i w:val="0"/>
          <w:iCs w:val="0"/>
          <w:color w:val="auto"/>
        </w:rPr>
        <w:t xml:space="preserve"> </w:t>
      </w:r>
      <w:r w:rsidR="00BE52EE" w:rsidRPr="00761557">
        <w:rPr>
          <w:rFonts w:ascii="Arial" w:hAnsi="Arial" w:cs="Arial"/>
          <w:i w:val="0"/>
          <w:iCs w:val="0"/>
          <w:color w:val="auto"/>
        </w:rPr>
        <w:t>se</w:t>
      </w:r>
      <w:r w:rsidR="00761557">
        <w:rPr>
          <w:rFonts w:ascii="Arial" w:hAnsi="Arial" w:cs="Arial"/>
          <w:i w:val="0"/>
          <w:iCs w:val="0"/>
          <w:color w:val="auto"/>
        </w:rPr>
        <w:t xml:space="preserve"> debe fortalecer </w:t>
      </w:r>
      <w:r w:rsidR="00750BFD">
        <w:rPr>
          <w:rFonts w:ascii="Arial" w:hAnsi="Arial" w:cs="Arial"/>
          <w:i w:val="0"/>
          <w:iCs w:val="0"/>
          <w:color w:val="auto"/>
        </w:rPr>
        <w:t xml:space="preserve">la formulación del mismo, de tal manera que se convierta en una herramienta gerencial diseñada para el aseguramiento y confiabilidad de la información financiera que genera el Instituto. </w:t>
      </w:r>
    </w:p>
    <w:p w14:paraId="34E87C0F" w14:textId="77777777" w:rsidR="00750BFD" w:rsidRDefault="00750BFD" w:rsidP="00750BFD">
      <w:pPr>
        <w:pStyle w:val="Ttulo4"/>
        <w:rPr>
          <w:rFonts w:ascii="Arial" w:hAnsi="Arial" w:cs="Arial"/>
          <w:i w:val="0"/>
          <w:iCs w:val="0"/>
          <w:color w:val="auto"/>
        </w:rPr>
      </w:pPr>
    </w:p>
    <w:p w14:paraId="19EABE28" w14:textId="4E7E496C" w:rsidR="000C632F" w:rsidRDefault="000C632F" w:rsidP="00750BFD">
      <w:pPr>
        <w:pStyle w:val="Ttulo4"/>
        <w:numPr>
          <w:ilvl w:val="0"/>
          <w:numId w:val="6"/>
        </w:numPr>
        <w:rPr>
          <w:rFonts w:ascii="Arial" w:hAnsi="Arial" w:cs="Arial"/>
          <w:b/>
          <w:i w:val="0"/>
          <w:color w:val="auto"/>
          <w:szCs w:val="24"/>
        </w:rPr>
      </w:pPr>
      <w:r>
        <w:rPr>
          <w:rFonts w:ascii="Arial" w:hAnsi="Arial" w:cs="Arial"/>
          <w:b/>
          <w:i w:val="0"/>
          <w:color w:val="auto"/>
          <w:szCs w:val="24"/>
        </w:rPr>
        <w:t>OBSERVACIONES</w:t>
      </w:r>
    </w:p>
    <w:p w14:paraId="5FFEE5C1" w14:textId="77777777" w:rsidR="002606E4" w:rsidRPr="003E6C87" w:rsidRDefault="002606E4" w:rsidP="00A42D0F"/>
    <w:p w14:paraId="571AA251" w14:textId="77777777" w:rsidR="0061278A" w:rsidRDefault="0061278A" w:rsidP="0061278A">
      <w:r w:rsidRPr="003E6C87">
        <w:rPr>
          <w:b/>
          <w:bCs/>
        </w:rPr>
        <w:t>Observación No. 01</w:t>
      </w:r>
      <w:r w:rsidRPr="003E6C87">
        <w:t>.  Se reitera por parte de esta Oficina formaliz</w:t>
      </w:r>
      <w:r>
        <w:t xml:space="preserve">ar y/o institucionalizar el archivo de excel con el que se viene reportando la información, </w:t>
      </w:r>
      <w:r w:rsidRPr="00D66463">
        <w:t xml:space="preserve">toda vez que el mismo carece de la identificación del responsable de elaboración y fecha de elaboración, tomando como referencia que estos documentos son los soportes del registro de la información contable y debe gozar de las características de integridad y confiabilidad de la información. </w:t>
      </w:r>
    </w:p>
    <w:p w14:paraId="33D1E19B" w14:textId="18C32864" w:rsidR="0061278A" w:rsidRDefault="0061278A" w:rsidP="0061278A">
      <w:r>
        <w:t xml:space="preserve">De otra parte, se sugiere modificar la actividad en cuanto a establecer si el producto es un “informe a través de correo electrónico…” o “informar a través de correo electrónico”, como actualmente se está realizando. </w:t>
      </w:r>
    </w:p>
    <w:p w14:paraId="09136152" w14:textId="5334DA2D" w:rsidR="00AD19FC" w:rsidRDefault="00AD19FC" w:rsidP="00A42D0F"/>
    <w:p w14:paraId="1AA510A4" w14:textId="77777777" w:rsidR="0061278A" w:rsidRDefault="0061278A" w:rsidP="00A42D0F">
      <w:r w:rsidRPr="0061278A">
        <w:rPr>
          <w:b/>
          <w:bCs/>
        </w:rPr>
        <w:t>OBSERVACIÓN No. 02.</w:t>
      </w:r>
      <w:r w:rsidRPr="0061278A">
        <w:t xml:space="preserve"> Se recomienda revisar el formato de conciliación, toda vez que el excel remitido se encuentra diligenciado sobre la planilla de aportes de compensar, no tiene fecha de elaboración, quien elabora, quien aprueba por contabilidad y por nómina, contra que información se está comparando los datos, no se encuentra formulada la totalidad del archivo las diferencias presentadas son datos digitados, en las diferencias registradas no se detalla a que corresponden y de donde se origina la misma.  </w:t>
      </w:r>
    </w:p>
    <w:p w14:paraId="2DA2CBE9" w14:textId="0DA8AA97" w:rsidR="0061278A" w:rsidRPr="0061278A" w:rsidRDefault="0061278A" w:rsidP="00A42D0F">
      <w:r w:rsidRPr="0061278A">
        <w:t>Es importante resaltar que estos archivos permiten generar actividades de aseguramiento y razonabilidad de la información contable, además de contar con la trazabilidad de la gestión adelantada por las áreas cuando se presentan diferencias.</w:t>
      </w:r>
    </w:p>
    <w:p w14:paraId="3ECD0A7C" w14:textId="5B181C93" w:rsidR="0061278A" w:rsidRDefault="0061278A" w:rsidP="00A42D0F">
      <w:pPr>
        <w:rPr>
          <w:sz w:val="22"/>
          <w:szCs w:val="20"/>
        </w:rPr>
      </w:pPr>
    </w:p>
    <w:p w14:paraId="5B76ED0C" w14:textId="6F35BD26" w:rsidR="0061278A" w:rsidRDefault="0061278A" w:rsidP="0061278A">
      <w:r w:rsidRPr="002606E4">
        <w:rPr>
          <w:b/>
          <w:bCs/>
        </w:rPr>
        <w:lastRenderedPageBreak/>
        <w:t>Observación No. 03</w:t>
      </w:r>
      <w:r w:rsidR="003E6C87">
        <w:rPr>
          <w:b/>
          <w:bCs/>
        </w:rPr>
        <w:t>.</w:t>
      </w:r>
      <w:r>
        <w:t xml:space="preserve"> Se recomienda </w:t>
      </w:r>
      <w:r w:rsidRPr="003D35C2">
        <w:t xml:space="preserve">revisar el indicador propuesto para esta actividad toda vez que se estableció un informe trimestral de litigios y demandas en contra de la Entidad, no se remitió evidencia del </w:t>
      </w:r>
      <w:r>
        <w:t xml:space="preserve">cumplimiento de </w:t>
      </w:r>
      <w:r w:rsidRPr="003D35C2">
        <w:t>este indicador.</w:t>
      </w:r>
    </w:p>
    <w:p w14:paraId="62090389" w14:textId="77777777" w:rsidR="003E6C87" w:rsidRDefault="003E6C87" w:rsidP="0061278A"/>
    <w:p w14:paraId="7C70C7A9" w14:textId="36036401" w:rsidR="0061278A" w:rsidRDefault="0061278A" w:rsidP="0061278A">
      <w:r>
        <w:rPr>
          <w:b/>
          <w:bCs/>
        </w:rPr>
        <w:t xml:space="preserve">Observación No. 04.  </w:t>
      </w:r>
      <w:r>
        <w:t xml:space="preserve">No se está realizando el avance y seguimiento al cumplimiento de las actividades, fechas, indicadores, porcentaje de avance y evidencia de </w:t>
      </w:r>
      <w:r w:rsidR="003E6C87">
        <w:t>ejecución del</w:t>
      </w:r>
      <w:r>
        <w:t xml:space="preserve"> plan de sostenibilidad contable. </w:t>
      </w:r>
    </w:p>
    <w:p w14:paraId="470D11F6" w14:textId="551C34A6" w:rsidR="0061278A" w:rsidRDefault="003E6C87" w:rsidP="00A42D0F">
      <w:r>
        <w:rPr>
          <w:b/>
          <w:bCs/>
        </w:rPr>
        <w:t>Observación No. 0</w:t>
      </w:r>
      <w:r>
        <w:rPr>
          <w:b/>
          <w:bCs/>
        </w:rPr>
        <w:t xml:space="preserve">5.  </w:t>
      </w:r>
      <w:r>
        <w:t>No se adjunto la totalidad de los documentos soporte para las actividades del plan de sostenibilidad con el fin de validar su aplicación y efectividad.</w:t>
      </w:r>
    </w:p>
    <w:p w14:paraId="361CA2A4" w14:textId="77777777" w:rsidR="003E6C87" w:rsidRPr="003E6C87" w:rsidRDefault="003E6C87" w:rsidP="00A42D0F"/>
    <w:p w14:paraId="1075902D" w14:textId="77777777" w:rsidR="0061278A" w:rsidRDefault="000C632F" w:rsidP="003F52DC">
      <w:pPr>
        <w:pStyle w:val="Prrafodelista"/>
        <w:numPr>
          <w:ilvl w:val="0"/>
          <w:numId w:val="6"/>
        </w:numPr>
        <w:rPr>
          <w:rFonts w:cs="Arial"/>
          <w:b/>
          <w:szCs w:val="24"/>
        </w:rPr>
      </w:pPr>
      <w:r w:rsidRPr="003F52DC">
        <w:rPr>
          <w:rFonts w:cs="Arial"/>
          <w:b/>
          <w:szCs w:val="24"/>
        </w:rPr>
        <w:t>RECOMENDACIONES</w:t>
      </w:r>
      <w:r w:rsidR="0061278A">
        <w:rPr>
          <w:rFonts w:cs="Arial"/>
          <w:b/>
          <w:szCs w:val="24"/>
        </w:rPr>
        <w:t>.</w:t>
      </w:r>
    </w:p>
    <w:p w14:paraId="481311DF" w14:textId="4D42A30A" w:rsidR="000C632F" w:rsidRPr="003F52DC" w:rsidRDefault="000C632F" w:rsidP="0061278A">
      <w:pPr>
        <w:pStyle w:val="Prrafodelista"/>
        <w:ind w:left="390"/>
        <w:rPr>
          <w:rFonts w:cs="Arial"/>
          <w:b/>
          <w:szCs w:val="24"/>
        </w:rPr>
      </w:pPr>
      <w:r w:rsidRPr="003F52DC">
        <w:rPr>
          <w:rFonts w:cs="Arial"/>
          <w:b/>
          <w:szCs w:val="24"/>
        </w:rPr>
        <w:t xml:space="preserve"> </w:t>
      </w:r>
    </w:p>
    <w:p w14:paraId="33E15527" w14:textId="433F5EEA" w:rsidR="0061278A" w:rsidRDefault="0061278A" w:rsidP="0061278A">
      <w:pPr>
        <w:pStyle w:val="Prrafodelista"/>
        <w:numPr>
          <w:ilvl w:val="0"/>
          <w:numId w:val="9"/>
        </w:numPr>
        <w:rPr>
          <w:rFonts w:cs="Arial"/>
          <w:szCs w:val="24"/>
        </w:rPr>
      </w:pPr>
      <w:r>
        <w:rPr>
          <w:rFonts w:cs="Arial"/>
          <w:szCs w:val="24"/>
        </w:rPr>
        <w:t>Revisar la estructuración del plan de sostenibilidad contable en cuanto a la coherencia, de indicadores, cronograma de ejecución</w:t>
      </w:r>
      <w:r w:rsidR="003E6C87">
        <w:rPr>
          <w:rFonts w:cs="Arial"/>
          <w:szCs w:val="24"/>
        </w:rPr>
        <w:t xml:space="preserve"> (solamente se programó de octubre a marzo)</w:t>
      </w:r>
      <w:r>
        <w:rPr>
          <w:rFonts w:cs="Arial"/>
          <w:szCs w:val="24"/>
        </w:rPr>
        <w:t>, avance de cumplimiento</w:t>
      </w:r>
      <w:r w:rsidR="003E6C87">
        <w:rPr>
          <w:rFonts w:cs="Arial"/>
          <w:szCs w:val="24"/>
        </w:rPr>
        <w:t xml:space="preserve">; para lo anterior se sugiera apoyarse metodológicamente con la Oficina Asesora de Planeación. </w:t>
      </w:r>
    </w:p>
    <w:p w14:paraId="390C6E47" w14:textId="77777777" w:rsidR="003E6C87" w:rsidRDefault="003E6C87" w:rsidP="003E6C87">
      <w:pPr>
        <w:pStyle w:val="Prrafodelista"/>
        <w:rPr>
          <w:rFonts w:cs="Arial"/>
          <w:szCs w:val="24"/>
        </w:rPr>
      </w:pPr>
    </w:p>
    <w:p w14:paraId="4A1D802A" w14:textId="666C14FB" w:rsidR="0061278A" w:rsidRDefault="0061278A" w:rsidP="0061278A">
      <w:pPr>
        <w:pStyle w:val="Prrafodelista"/>
        <w:numPr>
          <w:ilvl w:val="0"/>
          <w:numId w:val="9"/>
        </w:numPr>
        <w:rPr>
          <w:rFonts w:cs="Arial"/>
          <w:szCs w:val="24"/>
        </w:rPr>
      </w:pPr>
      <w:r>
        <w:rPr>
          <w:rFonts w:cs="Arial"/>
          <w:szCs w:val="24"/>
        </w:rPr>
        <w:t xml:space="preserve">Incluir en las actividades </w:t>
      </w:r>
      <w:r w:rsidR="003E6C87">
        <w:rPr>
          <w:rFonts w:cs="Arial"/>
          <w:szCs w:val="24"/>
        </w:rPr>
        <w:t xml:space="preserve">de control los </w:t>
      </w:r>
      <w:r>
        <w:rPr>
          <w:rFonts w:cs="Arial"/>
          <w:szCs w:val="24"/>
        </w:rPr>
        <w:t>reporte</w:t>
      </w:r>
      <w:r w:rsidR="003E6C87">
        <w:rPr>
          <w:rFonts w:cs="Arial"/>
          <w:szCs w:val="24"/>
        </w:rPr>
        <w:t>s</w:t>
      </w:r>
      <w:r>
        <w:rPr>
          <w:rFonts w:cs="Arial"/>
          <w:szCs w:val="24"/>
        </w:rPr>
        <w:t xml:space="preserve"> de información que se realiza a diferentes Entidades, de tal manera que se propenda por la oportunidad en los tiempos establecidos. </w:t>
      </w:r>
    </w:p>
    <w:p w14:paraId="5B6DCF40" w14:textId="77777777" w:rsidR="003E6C87" w:rsidRPr="0061278A" w:rsidRDefault="003E6C87" w:rsidP="003E6C87">
      <w:pPr>
        <w:pStyle w:val="Prrafodelista"/>
        <w:rPr>
          <w:rFonts w:cs="Arial"/>
          <w:szCs w:val="24"/>
        </w:rPr>
      </w:pPr>
    </w:p>
    <w:p w14:paraId="284D994F" w14:textId="05AA4EB8" w:rsidR="0061278A" w:rsidRPr="003E6C87" w:rsidRDefault="0061278A" w:rsidP="0061278A">
      <w:pPr>
        <w:pStyle w:val="Prrafodelista"/>
        <w:numPr>
          <w:ilvl w:val="0"/>
          <w:numId w:val="9"/>
        </w:numPr>
        <w:rPr>
          <w:rFonts w:cs="Arial"/>
          <w:szCs w:val="24"/>
        </w:rPr>
      </w:pPr>
      <w:r>
        <w:t xml:space="preserve">Realizar seguimiento por parte del área de Contabilidad al cumplimiento del Plan de Sostenibilidad Contable </w:t>
      </w:r>
      <w:r w:rsidR="003E6C87">
        <w:t xml:space="preserve">y reportarlo a la Oficina Asesora de Planeación como soporte de la gestión realizada por parte de la SAFYCI </w:t>
      </w:r>
      <w:r>
        <w:t>y presentar los resultados en el Comité de Sostenibilidad Financiera y Contable</w:t>
      </w:r>
    </w:p>
    <w:p w14:paraId="0B5BB1A8" w14:textId="77777777" w:rsidR="003E6C87" w:rsidRPr="00CB5244" w:rsidRDefault="003E6C87" w:rsidP="003E6C87">
      <w:pPr>
        <w:pStyle w:val="Prrafodelista"/>
        <w:rPr>
          <w:rFonts w:cs="Arial"/>
          <w:szCs w:val="24"/>
        </w:rPr>
      </w:pPr>
    </w:p>
    <w:p w14:paraId="39D4972B" w14:textId="71291DA8" w:rsidR="003E6C87" w:rsidRDefault="003E6C87">
      <w:pPr>
        <w:spacing w:after="160" w:line="259" w:lineRule="auto"/>
        <w:jc w:val="left"/>
        <w:rPr>
          <w:rFonts w:cs="Arial"/>
          <w:b/>
          <w:szCs w:val="24"/>
        </w:rPr>
      </w:pPr>
      <w:r>
        <w:rPr>
          <w:rFonts w:cs="Arial"/>
          <w:b/>
          <w:szCs w:val="24"/>
        </w:rPr>
        <w:br w:type="page"/>
      </w:r>
    </w:p>
    <w:p w14:paraId="5163B063" w14:textId="77777777" w:rsidR="0061278A" w:rsidRPr="0061278A" w:rsidRDefault="0061278A" w:rsidP="003E6C87">
      <w:pPr>
        <w:pStyle w:val="Prrafodelista"/>
        <w:rPr>
          <w:rFonts w:cs="Arial"/>
          <w:b/>
          <w:szCs w:val="24"/>
        </w:rPr>
      </w:pPr>
    </w:p>
    <w:p w14:paraId="78E81831" w14:textId="7872B7A1" w:rsidR="003F52DC" w:rsidRPr="003E6C87" w:rsidRDefault="003F52DC" w:rsidP="003F52DC">
      <w:pPr>
        <w:pStyle w:val="Prrafodelista"/>
        <w:numPr>
          <w:ilvl w:val="0"/>
          <w:numId w:val="9"/>
        </w:numPr>
        <w:rPr>
          <w:rFonts w:cs="Arial"/>
          <w:b/>
          <w:szCs w:val="24"/>
        </w:rPr>
      </w:pPr>
      <w:r>
        <w:t xml:space="preserve">Se recomienda al área de contabilidad junto con las áreas proveedoras de la información, revisar y validar las actividades de controles existentes, de tal manera que permitan contar con todos los soportes oportunamente y documentar la trazabilidad de la información que alimenta los estados contables de la Entidad. </w:t>
      </w:r>
    </w:p>
    <w:p w14:paraId="63FB8A61" w14:textId="77777777" w:rsidR="003E6C87" w:rsidRPr="003F240E" w:rsidRDefault="003E6C87" w:rsidP="003E6C87">
      <w:pPr>
        <w:pStyle w:val="Prrafodelista"/>
        <w:rPr>
          <w:rFonts w:cs="Arial"/>
          <w:b/>
          <w:szCs w:val="24"/>
        </w:rPr>
      </w:pPr>
    </w:p>
    <w:p w14:paraId="7AF50F67" w14:textId="166FF4B7" w:rsidR="003F240E" w:rsidRPr="003E6C87" w:rsidRDefault="003F240E" w:rsidP="003F52DC">
      <w:pPr>
        <w:pStyle w:val="Prrafodelista"/>
        <w:numPr>
          <w:ilvl w:val="0"/>
          <w:numId w:val="9"/>
        </w:numPr>
        <w:rPr>
          <w:rFonts w:cs="Arial"/>
          <w:b/>
          <w:szCs w:val="24"/>
        </w:rPr>
      </w:pPr>
      <w:r>
        <w:t>Los soportes deben contener la formalidad de fecha de elaboración y responsable de la información</w:t>
      </w:r>
      <w:r w:rsidR="003E6C87">
        <w:t>.</w:t>
      </w:r>
    </w:p>
    <w:p w14:paraId="600BDF4E" w14:textId="0D2FE095" w:rsidR="003E6C87" w:rsidRPr="003E6C87" w:rsidRDefault="003E6C87" w:rsidP="003E6C87">
      <w:pPr>
        <w:pStyle w:val="Prrafodelista"/>
        <w:rPr>
          <w:rFonts w:cs="Arial"/>
          <w:b/>
          <w:szCs w:val="24"/>
        </w:rPr>
      </w:pPr>
    </w:p>
    <w:p w14:paraId="3A940784" w14:textId="77777777" w:rsidR="003E6C87" w:rsidRDefault="003E6C87" w:rsidP="003E6C87">
      <w:pPr>
        <w:pStyle w:val="Prrafodelista"/>
        <w:ind w:left="0"/>
        <w:jc w:val="center"/>
        <w:rPr>
          <w:rFonts w:eastAsia="Times New Roman" w:cs="Arial"/>
          <w:b/>
          <w:bCs/>
          <w:szCs w:val="24"/>
        </w:rPr>
      </w:pPr>
      <w:r>
        <w:rPr>
          <w:noProof/>
        </w:rPr>
        <w:drawing>
          <wp:inline distT="0" distB="0" distL="0" distR="0" wp14:anchorId="0D9CFF55" wp14:editId="24F76875">
            <wp:extent cx="1520190" cy="619016"/>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6990" cy="625857"/>
                    </a:xfrm>
                    <a:prstGeom prst="rect">
                      <a:avLst/>
                    </a:prstGeom>
                    <a:noFill/>
                    <a:ln>
                      <a:noFill/>
                    </a:ln>
                  </pic:spPr>
                </pic:pic>
              </a:graphicData>
            </a:graphic>
          </wp:inline>
        </w:drawing>
      </w:r>
    </w:p>
    <w:p w14:paraId="5DA88162" w14:textId="20460E01" w:rsidR="000C632F" w:rsidRPr="003E6C87" w:rsidRDefault="000C632F" w:rsidP="003E6C87">
      <w:pPr>
        <w:pStyle w:val="Sinespaciado"/>
        <w:jc w:val="center"/>
        <w:rPr>
          <w:rFonts w:ascii="Arial" w:hAnsi="Arial" w:cs="Arial"/>
          <w:b/>
          <w:bCs/>
          <w:sz w:val="24"/>
          <w:szCs w:val="24"/>
        </w:rPr>
      </w:pPr>
      <w:r w:rsidRPr="003E6C87">
        <w:rPr>
          <w:rFonts w:ascii="Arial" w:eastAsia="Times New Roman" w:hAnsi="Arial" w:cs="Arial"/>
          <w:b/>
          <w:bCs/>
          <w:sz w:val="24"/>
          <w:szCs w:val="24"/>
        </w:rPr>
        <w:t>HILDA YAMILE MORALES LAVERDE</w:t>
      </w:r>
    </w:p>
    <w:p w14:paraId="2478682A" w14:textId="77777777" w:rsidR="000C632F" w:rsidRPr="003E6C87" w:rsidRDefault="000C632F" w:rsidP="003E6C87">
      <w:pPr>
        <w:pStyle w:val="Sinespaciado"/>
        <w:jc w:val="center"/>
        <w:rPr>
          <w:rFonts w:ascii="Arial" w:eastAsia="Times New Roman" w:hAnsi="Arial" w:cs="Arial"/>
          <w:sz w:val="24"/>
          <w:szCs w:val="24"/>
        </w:rPr>
      </w:pPr>
      <w:r w:rsidRPr="003E6C87">
        <w:rPr>
          <w:rFonts w:ascii="Arial" w:eastAsia="Times New Roman" w:hAnsi="Arial" w:cs="Arial"/>
          <w:sz w:val="24"/>
          <w:szCs w:val="24"/>
        </w:rPr>
        <w:t>Jefe de Control Interno</w:t>
      </w:r>
    </w:p>
    <w:p w14:paraId="3A40EBC0" w14:textId="77777777" w:rsidR="000C632F" w:rsidRPr="003E6C87" w:rsidRDefault="000C632F" w:rsidP="003E6C87">
      <w:pPr>
        <w:pStyle w:val="Sinespaciado"/>
        <w:rPr>
          <w:rFonts w:ascii="Arial" w:hAnsi="Arial" w:cs="Arial"/>
          <w:b/>
          <w:bCs/>
          <w:sz w:val="24"/>
          <w:szCs w:val="24"/>
        </w:rPr>
      </w:pPr>
    </w:p>
    <w:p w14:paraId="67A0EC14" w14:textId="77777777" w:rsidR="000C632F" w:rsidRPr="00AC62FB" w:rsidRDefault="000C632F" w:rsidP="000C632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5874"/>
        <w:gridCol w:w="1910"/>
      </w:tblGrid>
      <w:tr w:rsidR="000C632F" w:rsidRPr="00AC62FB" w14:paraId="5F0BCA77" w14:textId="77777777" w:rsidTr="00B306F6">
        <w:trPr>
          <w:trHeight w:val="163"/>
        </w:trPr>
        <w:tc>
          <w:tcPr>
            <w:tcW w:w="6918" w:type="dxa"/>
            <w:gridSpan w:val="2"/>
            <w:tcBorders>
              <w:top w:val="single" w:sz="4" w:space="0" w:color="auto"/>
              <w:left w:val="single" w:sz="4" w:space="0" w:color="auto"/>
              <w:bottom w:val="single" w:sz="4" w:space="0" w:color="auto"/>
              <w:right w:val="single" w:sz="4" w:space="0" w:color="auto"/>
            </w:tcBorders>
          </w:tcPr>
          <w:p w14:paraId="238DB879" w14:textId="77777777" w:rsidR="000C632F" w:rsidRPr="00AC62FB" w:rsidRDefault="000C632F" w:rsidP="00B306F6">
            <w:pPr>
              <w:pStyle w:val="Sinespaciado"/>
              <w:jc w:val="center"/>
              <w:rPr>
                <w:rFonts w:ascii="Arial" w:hAnsi="Arial" w:cs="Arial"/>
                <w:b/>
                <w:bCs/>
                <w:sz w:val="16"/>
                <w:szCs w:val="16"/>
              </w:rPr>
            </w:pPr>
            <w:r w:rsidRPr="00AC62FB">
              <w:rPr>
                <w:rFonts w:ascii="Arial" w:hAnsi="Arial" w:cs="Arial"/>
                <w:b/>
                <w:bCs/>
                <w:sz w:val="16"/>
                <w:szCs w:val="16"/>
              </w:rPr>
              <w:t>Nombre / Cargo</w:t>
            </w:r>
          </w:p>
        </w:tc>
        <w:tc>
          <w:tcPr>
            <w:tcW w:w="1910" w:type="dxa"/>
            <w:tcBorders>
              <w:top w:val="single" w:sz="4" w:space="0" w:color="auto"/>
              <w:left w:val="single" w:sz="4" w:space="0" w:color="auto"/>
              <w:bottom w:val="single" w:sz="4" w:space="0" w:color="auto"/>
              <w:right w:val="single" w:sz="4" w:space="0" w:color="auto"/>
            </w:tcBorders>
          </w:tcPr>
          <w:p w14:paraId="0EEAC171" w14:textId="77777777" w:rsidR="000C632F" w:rsidRPr="00AC62FB" w:rsidRDefault="000C632F" w:rsidP="00B306F6">
            <w:pPr>
              <w:pStyle w:val="Sinespaciado"/>
              <w:jc w:val="center"/>
              <w:rPr>
                <w:rFonts w:ascii="Arial" w:hAnsi="Arial" w:cs="Arial"/>
                <w:b/>
                <w:bCs/>
                <w:sz w:val="16"/>
                <w:szCs w:val="16"/>
              </w:rPr>
            </w:pPr>
            <w:r w:rsidRPr="00AC62FB">
              <w:rPr>
                <w:rFonts w:ascii="Arial" w:hAnsi="Arial" w:cs="Arial"/>
                <w:b/>
                <w:bCs/>
                <w:sz w:val="16"/>
                <w:szCs w:val="16"/>
              </w:rPr>
              <w:t>Firma</w:t>
            </w:r>
          </w:p>
        </w:tc>
      </w:tr>
      <w:tr w:rsidR="000C632F" w:rsidRPr="00AC62FB" w14:paraId="1715D0CA" w14:textId="77777777" w:rsidTr="00B306F6">
        <w:trPr>
          <w:trHeight w:val="168"/>
        </w:trPr>
        <w:tc>
          <w:tcPr>
            <w:tcW w:w="1044" w:type="dxa"/>
            <w:tcBorders>
              <w:top w:val="single" w:sz="4" w:space="0" w:color="auto"/>
              <w:left w:val="single" w:sz="4" w:space="0" w:color="auto"/>
              <w:bottom w:val="single" w:sz="4" w:space="0" w:color="auto"/>
              <w:right w:val="single" w:sz="4" w:space="0" w:color="auto"/>
            </w:tcBorders>
          </w:tcPr>
          <w:p w14:paraId="62631CD5" w14:textId="77777777" w:rsidR="000C632F" w:rsidRPr="00AC62FB" w:rsidRDefault="000C632F" w:rsidP="00B306F6">
            <w:pPr>
              <w:pStyle w:val="Sinespaciado"/>
              <w:rPr>
                <w:rFonts w:ascii="Arial" w:hAnsi="Arial" w:cs="Arial"/>
                <w:sz w:val="16"/>
                <w:szCs w:val="16"/>
              </w:rPr>
            </w:pPr>
            <w:r w:rsidRPr="00AC62FB">
              <w:rPr>
                <w:rFonts w:ascii="Arial" w:hAnsi="Arial" w:cs="Arial"/>
                <w:sz w:val="16"/>
                <w:szCs w:val="16"/>
              </w:rPr>
              <w:t>Aprobó</w:t>
            </w:r>
          </w:p>
        </w:tc>
        <w:tc>
          <w:tcPr>
            <w:tcW w:w="5874" w:type="dxa"/>
            <w:tcBorders>
              <w:top w:val="single" w:sz="4" w:space="0" w:color="auto"/>
              <w:left w:val="single" w:sz="4" w:space="0" w:color="auto"/>
              <w:bottom w:val="single" w:sz="4" w:space="0" w:color="auto"/>
              <w:right w:val="single" w:sz="4" w:space="0" w:color="auto"/>
            </w:tcBorders>
          </w:tcPr>
          <w:p w14:paraId="0F55FCE9" w14:textId="77777777" w:rsidR="000C632F" w:rsidRPr="00AC62FB" w:rsidRDefault="000C632F" w:rsidP="00B306F6">
            <w:pPr>
              <w:pStyle w:val="Sinespaciado"/>
              <w:rPr>
                <w:rFonts w:ascii="Arial" w:hAnsi="Arial" w:cs="Arial"/>
                <w:sz w:val="16"/>
                <w:szCs w:val="16"/>
              </w:rPr>
            </w:pPr>
            <w:r w:rsidRPr="00AC62FB">
              <w:rPr>
                <w:rFonts w:ascii="Arial" w:hAnsi="Arial" w:cs="Arial"/>
                <w:sz w:val="16"/>
                <w:szCs w:val="16"/>
              </w:rPr>
              <w:t>Hilda Yamile Morales Laverde, Jefe Oficina Control Interno</w:t>
            </w:r>
          </w:p>
        </w:tc>
        <w:tc>
          <w:tcPr>
            <w:tcW w:w="1910" w:type="dxa"/>
            <w:tcBorders>
              <w:top w:val="single" w:sz="4" w:space="0" w:color="auto"/>
              <w:left w:val="single" w:sz="4" w:space="0" w:color="auto"/>
              <w:bottom w:val="single" w:sz="4" w:space="0" w:color="auto"/>
              <w:right w:val="single" w:sz="4" w:space="0" w:color="auto"/>
            </w:tcBorders>
          </w:tcPr>
          <w:p w14:paraId="70D42ED7" w14:textId="35CF797C" w:rsidR="000C632F" w:rsidRPr="00AC62FB" w:rsidRDefault="003E6C87" w:rsidP="00B306F6">
            <w:pPr>
              <w:pStyle w:val="Sinespaciado"/>
              <w:rPr>
                <w:rFonts w:ascii="Arial" w:hAnsi="Arial" w:cs="Arial"/>
                <w:sz w:val="16"/>
                <w:szCs w:val="16"/>
              </w:rPr>
            </w:pPr>
            <w:r>
              <w:rPr>
                <w:noProof/>
              </w:rPr>
              <w:drawing>
                <wp:inline distT="0" distB="0" distL="0" distR="0" wp14:anchorId="7374550C" wp14:editId="565F155B">
                  <wp:extent cx="865491" cy="257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9530" cy="270261"/>
                          </a:xfrm>
                          <a:prstGeom prst="rect">
                            <a:avLst/>
                          </a:prstGeom>
                          <a:noFill/>
                          <a:ln>
                            <a:noFill/>
                          </a:ln>
                        </pic:spPr>
                      </pic:pic>
                    </a:graphicData>
                  </a:graphic>
                </wp:inline>
              </w:drawing>
            </w:r>
          </w:p>
        </w:tc>
      </w:tr>
      <w:tr w:rsidR="000C632F" w:rsidRPr="00AC62FB" w14:paraId="753E7F02" w14:textId="77777777" w:rsidTr="00B306F6">
        <w:tc>
          <w:tcPr>
            <w:tcW w:w="1044" w:type="dxa"/>
            <w:tcBorders>
              <w:top w:val="single" w:sz="4" w:space="0" w:color="auto"/>
              <w:left w:val="single" w:sz="4" w:space="0" w:color="auto"/>
              <w:bottom w:val="single" w:sz="4" w:space="0" w:color="auto"/>
              <w:right w:val="single" w:sz="4" w:space="0" w:color="auto"/>
            </w:tcBorders>
          </w:tcPr>
          <w:p w14:paraId="3AF79167" w14:textId="77777777" w:rsidR="000C632F" w:rsidRPr="00AC62FB" w:rsidRDefault="000C632F" w:rsidP="00B306F6">
            <w:pPr>
              <w:pStyle w:val="Sinespaciado"/>
              <w:rPr>
                <w:rFonts w:ascii="Arial" w:hAnsi="Arial" w:cs="Arial"/>
                <w:sz w:val="16"/>
                <w:szCs w:val="16"/>
              </w:rPr>
            </w:pPr>
            <w:r w:rsidRPr="00AC62FB">
              <w:rPr>
                <w:rFonts w:ascii="Arial" w:hAnsi="Arial" w:cs="Arial"/>
                <w:sz w:val="16"/>
                <w:szCs w:val="16"/>
              </w:rPr>
              <w:t>Revisó</w:t>
            </w:r>
          </w:p>
        </w:tc>
        <w:tc>
          <w:tcPr>
            <w:tcW w:w="5874" w:type="dxa"/>
            <w:tcBorders>
              <w:top w:val="single" w:sz="4" w:space="0" w:color="auto"/>
              <w:left w:val="single" w:sz="4" w:space="0" w:color="auto"/>
              <w:bottom w:val="single" w:sz="4" w:space="0" w:color="auto"/>
              <w:right w:val="single" w:sz="4" w:space="0" w:color="auto"/>
            </w:tcBorders>
          </w:tcPr>
          <w:p w14:paraId="4691E2DA" w14:textId="77777777" w:rsidR="000C632F" w:rsidRPr="00AC62FB" w:rsidRDefault="000C632F" w:rsidP="00B306F6">
            <w:pPr>
              <w:pStyle w:val="Sinespaciado"/>
              <w:rPr>
                <w:rFonts w:ascii="Arial" w:hAnsi="Arial" w:cs="Arial"/>
                <w:sz w:val="16"/>
                <w:szCs w:val="16"/>
              </w:rPr>
            </w:pPr>
            <w:r w:rsidRPr="00AC62FB">
              <w:rPr>
                <w:rFonts w:ascii="Arial" w:hAnsi="Arial" w:cs="Arial"/>
                <w:sz w:val="16"/>
                <w:szCs w:val="16"/>
              </w:rPr>
              <w:t>Hilda Yamile Morales Laverde, Jefe Oficina Control Interno</w:t>
            </w:r>
          </w:p>
        </w:tc>
        <w:tc>
          <w:tcPr>
            <w:tcW w:w="1910" w:type="dxa"/>
            <w:tcBorders>
              <w:top w:val="single" w:sz="4" w:space="0" w:color="auto"/>
              <w:left w:val="single" w:sz="4" w:space="0" w:color="auto"/>
              <w:bottom w:val="single" w:sz="4" w:space="0" w:color="auto"/>
              <w:right w:val="single" w:sz="4" w:space="0" w:color="auto"/>
            </w:tcBorders>
          </w:tcPr>
          <w:p w14:paraId="65B89524" w14:textId="77777777" w:rsidR="000C632F" w:rsidRPr="00AC62FB" w:rsidRDefault="000C632F" w:rsidP="00B306F6">
            <w:pPr>
              <w:pStyle w:val="Sinespaciado"/>
              <w:rPr>
                <w:rFonts w:ascii="Arial" w:hAnsi="Arial" w:cs="Arial"/>
                <w:sz w:val="16"/>
                <w:szCs w:val="16"/>
              </w:rPr>
            </w:pPr>
          </w:p>
        </w:tc>
      </w:tr>
      <w:tr w:rsidR="000C632F" w:rsidRPr="00AC62FB" w14:paraId="5C190416" w14:textId="77777777" w:rsidTr="00B306F6">
        <w:tc>
          <w:tcPr>
            <w:tcW w:w="8828" w:type="dxa"/>
            <w:gridSpan w:val="3"/>
            <w:tcBorders>
              <w:top w:val="single" w:sz="4" w:space="0" w:color="auto"/>
              <w:left w:val="single" w:sz="4" w:space="0" w:color="auto"/>
              <w:bottom w:val="single" w:sz="4" w:space="0" w:color="auto"/>
              <w:right w:val="single" w:sz="4" w:space="0" w:color="auto"/>
            </w:tcBorders>
          </w:tcPr>
          <w:p w14:paraId="799B765F" w14:textId="77777777" w:rsidR="000C632F" w:rsidRPr="00AC62FB" w:rsidRDefault="000C632F" w:rsidP="00B306F6">
            <w:pPr>
              <w:pStyle w:val="Sinespaciado"/>
              <w:rPr>
                <w:rFonts w:ascii="Arial" w:hAnsi="Arial" w:cs="Arial"/>
                <w:i/>
                <w:sz w:val="16"/>
                <w:szCs w:val="16"/>
              </w:rPr>
            </w:pPr>
            <w:r w:rsidRPr="00AC62FB">
              <w:rPr>
                <w:rFonts w:ascii="Arial" w:hAnsi="Arial" w:cs="Arial"/>
                <w:i/>
                <w:sz w:val="16"/>
                <w:szCs w:val="16"/>
              </w:rPr>
              <w:t>Los arriba firmantes declaramos que hemos revisado el presente documento y lo encontramos ajustado a las normas y disposiciones legales y/o técnicas vigentes</w:t>
            </w:r>
          </w:p>
        </w:tc>
      </w:tr>
    </w:tbl>
    <w:p w14:paraId="46BE9749" w14:textId="77777777" w:rsidR="000C632F" w:rsidRDefault="000C632F" w:rsidP="000C632F"/>
    <w:bookmarkEnd w:id="0"/>
    <w:p w14:paraId="18BE9673" w14:textId="6A02E9D0" w:rsidR="00B306F6" w:rsidRDefault="00B306F6"/>
    <w:sectPr w:rsidR="00B306F6" w:rsidSect="008B0249">
      <w:headerReference w:type="default" r:id="rId15"/>
      <w:footerReference w:type="default" r:id="rId16"/>
      <w:pgSz w:w="12240" w:h="15840" w:code="1"/>
      <w:pgMar w:top="1418" w:right="1467" w:bottom="1701"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0DED" w14:textId="77777777" w:rsidR="00F163FE" w:rsidRDefault="00F163FE">
      <w:pPr>
        <w:spacing w:after="0" w:line="240" w:lineRule="auto"/>
      </w:pPr>
      <w:r>
        <w:separator/>
      </w:r>
    </w:p>
  </w:endnote>
  <w:endnote w:type="continuationSeparator" w:id="0">
    <w:p w14:paraId="566AD75B" w14:textId="77777777" w:rsidR="00F163FE" w:rsidRDefault="00F1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65B5" w14:textId="77777777" w:rsidR="00E41934" w:rsidRDefault="00E41934" w:rsidP="00B306F6">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7F6E4ED" wp14:editId="55B9529B">
              <wp:simplePos x="0" y="0"/>
              <wp:positionH relativeFrom="column">
                <wp:posOffset>-413385</wp:posOffset>
              </wp:positionH>
              <wp:positionV relativeFrom="paragraph">
                <wp:posOffset>-321945</wp:posOffset>
              </wp:positionV>
              <wp:extent cx="4109085" cy="70866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DB796" w14:textId="77777777" w:rsidR="00E41934" w:rsidRPr="00324FED" w:rsidRDefault="00E41934" w:rsidP="00324FED">
                          <w:pPr>
                            <w:pStyle w:val="Sinespaciado"/>
                            <w:rPr>
                              <w:sz w:val="16"/>
                              <w:szCs w:val="16"/>
                              <w:lang w:val="es-ES"/>
                            </w:rPr>
                          </w:pPr>
                          <w:r w:rsidRPr="00324FED">
                            <w:rPr>
                              <w:sz w:val="16"/>
                              <w:szCs w:val="16"/>
                              <w:lang w:val="es-ES"/>
                            </w:rPr>
                            <w:t>INSTITUTO PARA LA INVESTIGACIÓN EDUCATIVA Y EL DESARROLLO PEDAGÓGICO, IDEP</w:t>
                          </w:r>
                        </w:p>
                        <w:p w14:paraId="22D8C0B9" w14:textId="77777777" w:rsidR="00E41934" w:rsidRPr="00324FED" w:rsidRDefault="00E41934" w:rsidP="00324FED">
                          <w:pPr>
                            <w:pStyle w:val="Sinespaciado"/>
                            <w:rPr>
                              <w:sz w:val="16"/>
                              <w:szCs w:val="16"/>
                              <w:lang w:val="es-ES"/>
                            </w:rPr>
                          </w:pPr>
                          <w:r w:rsidRPr="00324FED">
                            <w:rPr>
                              <w:sz w:val="16"/>
                              <w:szCs w:val="16"/>
                              <w:lang w:val="es-ES"/>
                            </w:rPr>
                            <w:t>Avenida Calle 26 No. 69D - 91. Oficinas 805, 806. Torre 2 - Código Postal: 110931</w:t>
                          </w:r>
                        </w:p>
                        <w:p w14:paraId="70663AC4" w14:textId="77777777" w:rsidR="00E41934" w:rsidRPr="00324FED" w:rsidRDefault="00E41934" w:rsidP="00324FED">
                          <w:pPr>
                            <w:pStyle w:val="Sinespaciado"/>
                            <w:rPr>
                              <w:sz w:val="16"/>
                              <w:szCs w:val="16"/>
                              <w:lang w:val="es-ES"/>
                            </w:rPr>
                          </w:pPr>
                          <w:r w:rsidRPr="00324FED">
                            <w:rPr>
                              <w:sz w:val="16"/>
                              <w:szCs w:val="16"/>
                              <w:lang w:val="es-ES"/>
                            </w:rPr>
                            <w:t>PBX (57-1) 263 0603 - Línea de atención al ciudadano 195</w:t>
                          </w:r>
                        </w:p>
                        <w:p w14:paraId="1CE96EEF" w14:textId="77777777" w:rsidR="00E41934" w:rsidRPr="007940A9" w:rsidRDefault="00E41934" w:rsidP="00B306F6">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425198DF" w14:textId="77777777" w:rsidR="00E41934" w:rsidRPr="007940A9" w:rsidRDefault="00E41934" w:rsidP="00B306F6">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4F6278E1" w14:textId="77777777" w:rsidR="00E41934" w:rsidRPr="007940A9" w:rsidRDefault="00E41934" w:rsidP="00B306F6">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6E4ED" id="_x0000_t202" coordsize="21600,21600" o:spt="202" path="m,l,21600r21600,l21600,xe">
              <v:stroke joinstyle="miter"/>
              <v:path gradientshapeok="t" o:connecttype="rect"/>
            </v:shapetype>
            <v:shape id="Text Box 1" o:spid="_x0000_s1026" type="#_x0000_t202" style="position:absolute;left:0;text-align:left;margin-left:-32.55pt;margin-top:-25.35pt;width:323.5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" stroked="f">
              <v:textbox>
                <w:txbxContent>
                  <w:p w14:paraId="26DDB796" w14:textId="77777777" w:rsidR="00E41934" w:rsidRPr="00324FED" w:rsidRDefault="00E41934" w:rsidP="00324FED">
                    <w:pPr>
                      <w:pStyle w:val="Sinespaciado"/>
                      <w:rPr>
                        <w:sz w:val="16"/>
                        <w:szCs w:val="16"/>
                        <w:lang w:val="es-ES"/>
                      </w:rPr>
                    </w:pPr>
                    <w:r w:rsidRPr="00324FED">
                      <w:rPr>
                        <w:sz w:val="16"/>
                        <w:szCs w:val="16"/>
                        <w:lang w:val="es-ES"/>
                      </w:rPr>
                      <w:t>INSTITUTO PARA LA INVESTIGACIÓN EDUCATIVA Y EL DESARROLLO PEDAGÓGICO, IDEP</w:t>
                    </w:r>
                  </w:p>
                  <w:p w14:paraId="22D8C0B9" w14:textId="77777777" w:rsidR="00E41934" w:rsidRPr="00324FED" w:rsidRDefault="00E41934" w:rsidP="00324FED">
                    <w:pPr>
                      <w:pStyle w:val="Sinespaciado"/>
                      <w:rPr>
                        <w:sz w:val="16"/>
                        <w:szCs w:val="16"/>
                        <w:lang w:val="es-ES"/>
                      </w:rPr>
                    </w:pPr>
                    <w:r w:rsidRPr="00324FED">
                      <w:rPr>
                        <w:sz w:val="16"/>
                        <w:szCs w:val="16"/>
                        <w:lang w:val="es-ES"/>
                      </w:rPr>
                      <w:t>Avenida Calle 26 No. 69D - 91. Oficinas 805, 806. Torre 2 - Código Postal: 110931</w:t>
                    </w:r>
                  </w:p>
                  <w:p w14:paraId="70663AC4" w14:textId="77777777" w:rsidR="00E41934" w:rsidRPr="00324FED" w:rsidRDefault="00E41934" w:rsidP="00324FED">
                    <w:pPr>
                      <w:pStyle w:val="Sinespaciado"/>
                      <w:rPr>
                        <w:sz w:val="16"/>
                        <w:szCs w:val="16"/>
                        <w:lang w:val="es-ES"/>
                      </w:rPr>
                    </w:pPr>
                    <w:r w:rsidRPr="00324FED">
                      <w:rPr>
                        <w:sz w:val="16"/>
                        <w:szCs w:val="16"/>
                        <w:lang w:val="es-ES"/>
                      </w:rPr>
                      <w:t>PBX (57-1) 263 0603 - Línea de atención al ciudadano 195</w:t>
                    </w:r>
                  </w:p>
                  <w:p w14:paraId="1CE96EEF" w14:textId="77777777" w:rsidR="00E41934" w:rsidRPr="007940A9" w:rsidRDefault="00E41934" w:rsidP="00B306F6">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Bogotá DC - Colombia</w:t>
                    </w:r>
                  </w:p>
                  <w:p w14:paraId="425198DF" w14:textId="77777777" w:rsidR="00E41934" w:rsidRPr="007940A9" w:rsidRDefault="00E41934" w:rsidP="00B306F6">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idep@idep.edu.co</w:t>
                    </w:r>
                  </w:p>
                  <w:p w14:paraId="4F6278E1" w14:textId="77777777" w:rsidR="00E41934" w:rsidRPr="007940A9" w:rsidRDefault="00E41934" w:rsidP="00B306F6">
                    <w:pPr>
                      <w:spacing w:line="180" w:lineRule="atLeast"/>
                      <w:rPr>
                        <w:rFonts w:cs="Arial"/>
                        <w:color w:val="323E4F" w:themeColor="text2" w:themeShade="BF"/>
                        <w:sz w:val="14"/>
                        <w:szCs w:val="14"/>
                        <w:lang w:val="es-ES"/>
                      </w:rPr>
                    </w:pPr>
                    <w:r w:rsidRPr="007940A9">
                      <w:rPr>
                        <w:rFonts w:cs="Arial"/>
                        <w:color w:val="323E4F" w:themeColor="text2" w:themeShade="BF"/>
                        <w:sz w:val="14"/>
                        <w:szCs w:val="14"/>
                        <w:lang w:val="es-ES"/>
                      </w:rPr>
                      <w:t>www.idep.edu.co</w:t>
                    </w: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41A2DD8C" wp14:editId="201A2A83">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746799D4" w14:textId="77777777" w:rsidR="00E41934" w:rsidRDefault="00E41934">
                          <w:r>
                            <w:rPr>
                              <w:noProof/>
                            </w:rPr>
                            <w:drawing>
                              <wp:inline distT="0" distB="0" distL="0" distR="0" wp14:anchorId="683CA8A7" wp14:editId="7A1EFB3C">
                                <wp:extent cx="2012950" cy="652145"/>
                                <wp:effectExtent l="0" t="0" r="635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2DD8C" id="Cuadro de texto 2" o:spid="_x0000_s1027" type="#_x0000_t202" style="position:absolute;left:0;text-align:left;margin-left:299.7pt;margin-top:-35.1pt;width:174.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746799D4" w14:textId="77777777" w:rsidR="00E41934" w:rsidRDefault="00E41934">
                    <w:r>
                      <w:rPr>
                        <w:noProof/>
                      </w:rPr>
                      <w:drawing>
                        <wp:inline distT="0" distB="0" distL="0" distR="0" wp14:anchorId="683CA8A7" wp14:editId="7A1EFB3C">
                          <wp:extent cx="2012950" cy="652145"/>
                          <wp:effectExtent l="0" t="0" r="635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3B8F8" w14:textId="77777777" w:rsidR="00F163FE" w:rsidRDefault="00F163FE">
      <w:pPr>
        <w:spacing w:after="0" w:line="240" w:lineRule="auto"/>
      </w:pPr>
      <w:r>
        <w:separator/>
      </w:r>
    </w:p>
  </w:footnote>
  <w:footnote w:type="continuationSeparator" w:id="0">
    <w:p w14:paraId="1029698A" w14:textId="77777777" w:rsidR="00F163FE" w:rsidRDefault="00F1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318B" w14:textId="77777777" w:rsidR="00E41934" w:rsidRDefault="00E41934" w:rsidP="00B306F6">
    <w:pPr>
      <w:pStyle w:val="Encabezado"/>
      <w:jc w:val="center"/>
    </w:pPr>
    <w:r>
      <w:rPr>
        <w:noProof/>
        <w:lang w:eastAsia="es-CO"/>
      </w:rPr>
      <w:drawing>
        <wp:inline distT="0" distB="0" distL="0" distR="0" wp14:anchorId="258D2E1B" wp14:editId="342E86D2">
          <wp:extent cx="866775" cy="813552"/>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5B0B"/>
    <w:multiLevelType w:val="hybridMultilevel"/>
    <w:tmpl w:val="10CE16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D52751"/>
    <w:multiLevelType w:val="hybridMultilevel"/>
    <w:tmpl w:val="00BC6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1307EB"/>
    <w:multiLevelType w:val="hybridMultilevel"/>
    <w:tmpl w:val="AC6ADF6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B85A3B"/>
    <w:multiLevelType w:val="hybridMultilevel"/>
    <w:tmpl w:val="B9B84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032BF1"/>
    <w:multiLevelType w:val="hybridMultilevel"/>
    <w:tmpl w:val="141A7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DB27C0E"/>
    <w:multiLevelType w:val="hybridMultilevel"/>
    <w:tmpl w:val="4D6EE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046136"/>
    <w:multiLevelType w:val="multilevel"/>
    <w:tmpl w:val="244A9860"/>
    <w:lvl w:ilvl="0">
      <w:start w:val="5"/>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A640E4"/>
    <w:multiLevelType w:val="multilevel"/>
    <w:tmpl w:val="6B20168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88397A"/>
    <w:multiLevelType w:val="hybridMultilevel"/>
    <w:tmpl w:val="8FDED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3307D1"/>
    <w:multiLevelType w:val="hybridMultilevel"/>
    <w:tmpl w:val="4D6EE5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9B568C"/>
    <w:multiLevelType w:val="hybridMultilevel"/>
    <w:tmpl w:val="E37A4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F06B25"/>
    <w:multiLevelType w:val="hybridMultilevel"/>
    <w:tmpl w:val="B0068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D112FD"/>
    <w:multiLevelType w:val="hybridMultilevel"/>
    <w:tmpl w:val="6734C432"/>
    <w:lvl w:ilvl="0" w:tplc="EA36D7C0">
      <w:start w:val="1"/>
      <w:numFmt w:val="decimal"/>
      <w:lvlText w:val="%1."/>
      <w:lvlJc w:val="left"/>
      <w:pPr>
        <w:ind w:left="720" w:hanging="360"/>
      </w:pPr>
      <w:rPr>
        <w:rFonts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B70DA5"/>
    <w:multiLevelType w:val="hybridMultilevel"/>
    <w:tmpl w:val="5F1A0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
  </w:num>
  <w:num w:numId="5">
    <w:abstractNumId w:val="5"/>
  </w:num>
  <w:num w:numId="6">
    <w:abstractNumId w:val="7"/>
  </w:num>
  <w:num w:numId="7">
    <w:abstractNumId w:val="6"/>
  </w:num>
  <w:num w:numId="8">
    <w:abstractNumId w:val="11"/>
  </w:num>
  <w:num w:numId="9">
    <w:abstractNumId w:val="12"/>
  </w:num>
  <w:num w:numId="10">
    <w:abstractNumId w:val="13"/>
  </w:num>
  <w:num w:numId="11">
    <w:abstractNumId w:val="10"/>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2F"/>
    <w:rsid w:val="00012992"/>
    <w:rsid w:val="00022002"/>
    <w:rsid w:val="00067B29"/>
    <w:rsid w:val="000C632F"/>
    <w:rsid w:val="000F73DD"/>
    <w:rsid w:val="0011331A"/>
    <w:rsid w:val="001244FD"/>
    <w:rsid w:val="00167896"/>
    <w:rsid w:val="001839A0"/>
    <w:rsid w:val="00190A9D"/>
    <w:rsid w:val="001A512A"/>
    <w:rsid w:val="001C5E34"/>
    <w:rsid w:val="00215306"/>
    <w:rsid w:val="0025214B"/>
    <w:rsid w:val="002557F1"/>
    <w:rsid w:val="002606E4"/>
    <w:rsid w:val="002B0BD5"/>
    <w:rsid w:val="002B3F85"/>
    <w:rsid w:val="002D0AB5"/>
    <w:rsid w:val="002F6A24"/>
    <w:rsid w:val="00324FED"/>
    <w:rsid w:val="003346E8"/>
    <w:rsid w:val="00377B36"/>
    <w:rsid w:val="003A3B07"/>
    <w:rsid w:val="003D35C2"/>
    <w:rsid w:val="003D6458"/>
    <w:rsid w:val="003E6C87"/>
    <w:rsid w:val="003F240E"/>
    <w:rsid w:val="003F52DC"/>
    <w:rsid w:val="004323C0"/>
    <w:rsid w:val="0045416A"/>
    <w:rsid w:val="00491454"/>
    <w:rsid w:val="004B17D6"/>
    <w:rsid w:val="004C4471"/>
    <w:rsid w:val="004F500C"/>
    <w:rsid w:val="00504D87"/>
    <w:rsid w:val="00511AC3"/>
    <w:rsid w:val="005512EE"/>
    <w:rsid w:val="0055502B"/>
    <w:rsid w:val="005E7DD0"/>
    <w:rsid w:val="0060198F"/>
    <w:rsid w:val="0060288C"/>
    <w:rsid w:val="00610EE1"/>
    <w:rsid w:val="0061278A"/>
    <w:rsid w:val="0062722E"/>
    <w:rsid w:val="00692284"/>
    <w:rsid w:val="006C5144"/>
    <w:rsid w:val="006D0A59"/>
    <w:rsid w:val="006D4628"/>
    <w:rsid w:val="006E6A17"/>
    <w:rsid w:val="00750BFD"/>
    <w:rsid w:val="00761557"/>
    <w:rsid w:val="00771A52"/>
    <w:rsid w:val="00780D11"/>
    <w:rsid w:val="007E617F"/>
    <w:rsid w:val="007F638C"/>
    <w:rsid w:val="00813D20"/>
    <w:rsid w:val="0081430D"/>
    <w:rsid w:val="008465E3"/>
    <w:rsid w:val="00860488"/>
    <w:rsid w:val="00872D92"/>
    <w:rsid w:val="00877F0A"/>
    <w:rsid w:val="00882AD3"/>
    <w:rsid w:val="008B0249"/>
    <w:rsid w:val="008E4100"/>
    <w:rsid w:val="00904AEC"/>
    <w:rsid w:val="0091010B"/>
    <w:rsid w:val="00911144"/>
    <w:rsid w:val="009220CE"/>
    <w:rsid w:val="00942388"/>
    <w:rsid w:val="00983B04"/>
    <w:rsid w:val="009927B2"/>
    <w:rsid w:val="009938A9"/>
    <w:rsid w:val="00A34C02"/>
    <w:rsid w:val="00A42D0F"/>
    <w:rsid w:val="00A83088"/>
    <w:rsid w:val="00AD19FC"/>
    <w:rsid w:val="00AD485B"/>
    <w:rsid w:val="00AF076D"/>
    <w:rsid w:val="00B306F6"/>
    <w:rsid w:val="00B9051B"/>
    <w:rsid w:val="00B934EE"/>
    <w:rsid w:val="00B94D7A"/>
    <w:rsid w:val="00B95765"/>
    <w:rsid w:val="00BC7F71"/>
    <w:rsid w:val="00BD78B2"/>
    <w:rsid w:val="00BE52EE"/>
    <w:rsid w:val="00C367D2"/>
    <w:rsid w:val="00C66A9D"/>
    <w:rsid w:val="00CB5244"/>
    <w:rsid w:val="00D30B0E"/>
    <w:rsid w:val="00D36DF8"/>
    <w:rsid w:val="00D66463"/>
    <w:rsid w:val="00DA27AB"/>
    <w:rsid w:val="00DC5C39"/>
    <w:rsid w:val="00E268CE"/>
    <w:rsid w:val="00E30364"/>
    <w:rsid w:val="00E41934"/>
    <w:rsid w:val="00E50457"/>
    <w:rsid w:val="00E74245"/>
    <w:rsid w:val="00E815C8"/>
    <w:rsid w:val="00E94DE7"/>
    <w:rsid w:val="00E97625"/>
    <w:rsid w:val="00EA38E7"/>
    <w:rsid w:val="00EB7144"/>
    <w:rsid w:val="00F163FE"/>
    <w:rsid w:val="00F2463C"/>
    <w:rsid w:val="00F733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7D9C"/>
  <w15:chartTrackingRefBased/>
  <w15:docId w15:val="{D382F39C-3C3D-4F47-AEE2-4B68ED6A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2F"/>
    <w:pPr>
      <w:spacing w:after="200" w:line="276" w:lineRule="auto"/>
      <w:jc w:val="both"/>
    </w:pPr>
    <w:rPr>
      <w:rFonts w:ascii="Arial" w:eastAsiaTheme="minorEastAsia" w:hAnsi="Arial"/>
      <w:sz w:val="24"/>
      <w:lang w:eastAsia="es-CO"/>
    </w:rPr>
  </w:style>
  <w:style w:type="paragraph" w:styleId="Ttulo1">
    <w:name w:val="heading 1"/>
    <w:basedOn w:val="Normal"/>
    <w:next w:val="Normal"/>
    <w:link w:val="Ttulo1Car"/>
    <w:uiPriority w:val="9"/>
    <w:qFormat/>
    <w:rsid w:val="000C6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0C63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32F"/>
    <w:rPr>
      <w:rFonts w:asciiTheme="majorHAnsi" w:eastAsiaTheme="majorEastAsia" w:hAnsiTheme="majorHAnsi" w:cstheme="majorBidi"/>
      <w:color w:val="2F5496" w:themeColor="accent1" w:themeShade="BF"/>
      <w:sz w:val="32"/>
      <w:szCs w:val="32"/>
      <w:lang w:eastAsia="es-CO"/>
    </w:rPr>
  </w:style>
  <w:style w:type="character" w:customStyle="1" w:styleId="Ttulo4Car">
    <w:name w:val="Título 4 Car"/>
    <w:basedOn w:val="Fuentedeprrafopredeter"/>
    <w:link w:val="Ttulo4"/>
    <w:uiPriority w:val="9"/>
    <w:rsid w:val="000C632F"/>
    <w:rPr>
      <w:rFonts w:asciiTheme="majorHAnsi" w:eastAsiaTheme="majorEastAsia" w:hAnsiTheme="majorHAnsi" w:cstheme="majorBidi"/>
      <w:i/>
      <w:iCs/>
      <w:color w:val="2F5496" w:themeColor="accent1" w:themeShade="BF"/>
      <w:sz w:val="24"/>
      <w:lang w:eastAsia="es-CO"/>
    </w:rPr>
  </w:style>
  <w:style w:type="paragraph" w:styleId="Encabezado">
    <w:name w:val="header"/>
    <w:basedOn w:val="Normal"/>
    <w:link w:val="EncabezadoCar"/>
    <w:uiPriority w:val="99"/>
    <w:unhideWhenUsed/>
    <w:rsid w:val="000C632F"/>
    <w:pPr>
      <w:tabs>
        <w:tab w:val="center" w:pos="4419"/>
        <w:tab w:val="right" w:pos="8838"/>
      </w:tabs>
    </w:pPr>
    <w:rPr>
      <w:rFonts w:asciiTheme="minorHAnsi" w:eastAsiaTheme="minorHAnsi" w:hAnsiTheme="minorHAnsi"/>
      <w:sz w:val="22"/>
      <w:lang w:eastAsia="en-US"/>
    </w:rPr>
  </w:style>
  <w:style w:type="character" w:customStyle="1" w:styleId="EncabezadoCar">
    <w:name w:val="Encabezado Car"/>
    <w:basedOn w:val="Fuentedeprrafopredeter"/>
    <w:link w:val="Encabezado"/>
    <w:uiPriority w:val="99"/>
    <w:rsid w:val="000C632F"/>
  </w:style>
  <w:style w:type="paragraph" w:styleId="Piedepgina">
    <w:name w:val="footer"/>
    <w:basedOn w:val="Normal"/>
    <w:link w:val="PiedepginaCar"/>
    <w:uiPriority w:val="99"/>
    <w:unhideWhenUsed/>
    <w:rsid w:val="000C632F"/>
    <w:pPr>
      <w:tabs>
        <w:tab w:val="center" w:pos="4419"/>
        <w:tab w:val="right" w:pos="8838"/>
      </w:tabs>
    </w:pPr>
    <w:rPr>
      <w:rFonts w:asciiTheme="minorHAnsi" w:eastAsiaTheme="minorHAnsi" w:hAnsiTheme="minorHAnsi"/>
      <w:sz w:val="22"/>
      <w:lang w:eastAsia="en-US"/>
    </w:rPr>
  </w:style>
  <w:style w:type="character" w:customStyle="1" w:styleId="PiedepginaCar">
    <w:name w:val="Pie de página Car"/>
    <w:basedOn w:val="Fuentedeprrafopredeter"/>
    <w:link w:val="Piedepgina"/>
    <w:uiPriority w:val="99"/>
    <w:rsid w:val="000C632F"/>
  </w:style>
  <w:style w:type="paragraph" w:styleId="Prrafodelista">
    <w:name w:val="List Paragraph"/>
    <w:aliases w:val="Párrafo de lista en tabla de sistematización,List Paragraph"/>
    <w:basedOn w:val="Normal"/>
    <w:uiPriority w:val="34"/>
    <w:qFormat/>
    <w:rsid w:val="000C632F"/>
    <w:pPr>
      <w:ind w:left="720"/>
      <w:contextualSpacing/>
    </w:pPr>
  </w:style>
  <w:style w:type="paragraph" w:styleId="Sinespaciado">
    <w:name w:val="No Spacing"/>
    <w:uiPriority w:val="1"/>
    <w:qFormat/>
    <w:rsid w:val="000C632F"/>
    <w:pPr>
      <w:spacing w:after="0" w:line="240" w:lineRule="auto"/>
    </w:pPr>
    <w:rPr>
      <w:rFonts w:eastAsiaTheme="minorEastAsia"/>
      <w:lang w:eastAsia="es-CO"/>
    </w:rPr>
  </w:style>
  <w:style w:type="paragraph" w:customStyle="1" w:styleId="Default">
    <w:name w:val="Default"/>
    <w:rsid w:val="000C632F"/>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0C632F"/>
    <w:pPr>
      <w:spacing w:after="120"/>
    </w:pPr>
  </w:style>
  <w:style w:type="character" w:customStyle="1" w:styleId="TextoindependienteCar">
    <w:name w:val="Texto independiente Car"/>
    <w:basedOn w:val="Fuentedeprrafopredeter"/>
    <w:link w:val="Textoindependiente"/>
    <w:uiPriority w:val="99"/>
    <w:rsid w:val="000C632F"/>
    <w:rPr>
      <w:rFonts w:ascii="Arial" w:eastAsiaTheme="minorEastAsia" w:hAnsi="Arial"/>
      <w:sz w:val="24"/>
      <w:lang w:eastAsia="es-CO"/>
    </w:rPr>
  </w:style>
  <w:style w:type="character" w:styleId="Hipervnculo">
    <w:name w:val="Hyperlink"/>
    <w:basedOn w:val="Fuentedeprrafopredeter"/>
    <w:uiPriority w:val="99"/>
    <w:unhideWhenUsed/>
    <w:rsid w:val="00692284"/>
    <w:rPr>
      <w:color w:val="0000FF"/>
      <w:u w:val="single"/>
    </w:rPr>
  </w:style>
  <w:style w:type="character" w:customStyle="1" w:styleId="Mencinsinresolver1">
    <w:name w:val="Mención sin resolver1"/>
    <w:basedOn w:val="Fuentedeprrafopredeter"/>
    <w:uiPriority w:val="99"/>
    <w:semiHidden/>
    <w:unhideWhenUsed/>
    <w:rsid w:val="00C367D2"/>
    <w:rPr>
      <w:color w:val="605E5C"/>
      <w:shd w:val="clear" w:color="auto" w:fill="E1DFDD"/>
    </w:rPr>
  </w:style>
  <w:style w:type="paragraph" w:styleId="Textodeglobo">
    <w:name w:val="Balloon Text"/>
    <w:basedOn w:val="Normal"/>
    <w:link w:val="TextodegloboCar"/>
    <w:uiPriority w:val="99"/>
    <w:semiHidden/>
    <w:unhideWhenUsed/>
    <w:rsid w:val="005512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2EE"/>
    <w:rPr>
      <w:rFonts w:ascii="Segoe UI" w:eastAsiaTheme="minorEastAsia" w:hAnsi="Segoe UI" w:cs="Segoe UI"/>
      <w:sz w:val="18"/>
      <w:szCs w:val="18"/>
      <w:lang w:eastAsia="es-CO"/>
    </w:rPr>
  </w:style>
  <w:style w:type="table" w:styleId="Tablaconcuadrcula">
    <w:name w:val="Table Grid"/>
    <w:basedOn w:val="Tablanormal"/>
    <w:uiPriority w:val="39"/>
    <w:rsid w:val="00EA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1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448">
      <w:bodyDiv w:val="1"/>
      <w:marLeft w:val="0"/>
      <w:marRight w:val="0"/>
      <w:marTop w:val="0"/>
      <w:marBottom w:val="0"/>
      <w:divBdr>
        <w:top w:val="none" w:sz="0" w:space="0" w:color="auto"/>
        <w:left w:val="none" w:sz="0" w:space="0" w:color="auto"/>
        <w:bottom w:val="none" w:sz="0" w:space="0" w:color="auto"/>
        <w:right w:val="none" w:sz="0" w:space="0" w:color="auto"/>
      </w:divBdr>
      <w:divsChild>
        <w:div w:id="1962229610">
          <w:marLeft w:val="0"/>
          <w:marRight w:val="0"/>
          <w:marTop w:val="0"/>
          <w:marBottom w:val="0"/>
          <w:divBdr>
            <w:top w:val="none" w:sz="0" w:space="0" w:color="auto"/>
            <w:left w:val="none" w:sz="0" w:space="0" w:color="auto"/>
            <w:bottom w:val="none" w:sz="0" w:space="0" w:color="auto"/>
            <w:right w:val="none" w:sz="0" w:space="0" w:color="auto"/>
          </w:divBdr>
        </w:div>
        <w:div w:id="1644844406">
          <w:marLeft w:val="0"/>
          <w:marRight w:val="0"/>
          <w:marTop w:val="0"/>
          <w:marBottom w:val="0"/>
          <w:divBdr>
            <w:top w:val="none" w:sz="0" w:space="0" w:color="auto"/>
            <w:left w:val="none" w:sz="0" w:space="0" w:color="auto"/>
            <w:bottom w:val="none" w:sz="0" w:space="0" w:color="auto"/>
            <w:right w:val="none" w:sz="0" w:space="0" w:color="auto"/>
          </w:divBdr>
        </w:div>
        <w:div w:id="711030525">
          <w:marLeft w:val="0"/>
          <w:marRight w:val="0"/>
          <w:marTop w:val="0"/>
          <w:marBottom w:val="0"/>
          <w:divBdr>
            <w:top w:val="none" w:sz="0" w:space="0" w:color="auto"/>
            <w:left w:val="none" w:sz="0" w:space="0" w:color="auto"/>
            <w:bottom w:val="none" w:sz="0" w:space="0" w:color="auto"/>
            <w:right w:val="none" w:sz="0" w:space="0" w:color="auto"/>
          </w:divBdr>
        </w:div>
      </w:divsChild>
    </w:div>
    <w:div w:id="1117871745">
      <w:bodyDiv w:val="1"/>
      <w:marLeft w:val="0"/>
      <w:marRight w:val="0"/>
      <w:marTop w:val="0"/>
      <w:marBottom w:val="0"/>
      <w:divBdr>
        <w:top w:val="none" w:sz="0" w:space="0" w:color="auto"/>
        <w:left w:val="none" w:sz="0" w:space="0" w:color="auto"/>
        <w:bottom w:val="none" w:sz="0" w:space="0" w:color="auto"/>
        <w:right w:val="none" w:sz="0" w:space="0" w:color="auto"/>
      </w:divBdr>
    </w:div>
    <w:div w:id="1165974285">
      <w:bodyDiv w:val="1"/>
      <w:marLeft w:val="0"/>
      <w:marRight w:val="0"/>
      <w:marTop w:val="0"/>
      <w:marBottom w:val="0"/>
      <w:divBdr>
        <w:top w:val="none" w:sz="0" w:space="0" w:color="auto"/>
        <w:left w:val="none" w:sz="0" w:space="0" w:color="auto"/>
        <w:bottom w:val="none" w:sz="0" w:space="0" w:color="auto"/>
        <w:right w:val="none" w:sz="0" w:space="0" w:color="auto"/>
      </w:divBdr>
    </w:div>
    <w:div w:id="1630667662">
      <w:bodyDiv w:val="1"/>
      <w:marLeft w:val="0"/>
      <w:marRight w:val="0"/>
      <w:marTop w:val="0"/>
      <w:marBottom w:val="0"/>
      <w:divBdr>
        <w:top w:val="none" w:sz="0" w:space="0" w:color="auto"/>
        <w:left w:val="none" w:sz="0" w:space="0" w:color="auto"/>
        <w:bottom w:val="none" w:sz="0" w:space="0" w:color="auto"/>
        <w:right w:val="none" w:sz="0" w:space="0" w:color="auto"/>
      </w:divBdr>
    </w:div>
    <w:div w:id="18618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gf-14-proceso-de-gesti%C3%B3n-financie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ep.edu.co/?q=node/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sites/default/files/Notas%20IDEP%202020_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dep.edu.co/?q=node/37" TargetMode="External"/><Relationship Id="rId4" Type="http://schemas.openxmlformats.org/officeDocument/2006/relationships/settings" Target="settings.xml"/><Relationship Id="rId9" Type="http://schemas.openxmlformats.org/officeDocument/2006/relationships/hyperlink" Target="https://drive.google.com/drive/folders/1RZoXTlS40V-CWn-UVF5J6kX_IqQ6aUik?usp=sharing"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D64D0-C79C-4E72-A4D8-B61D8CE1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7336</TotalTime>
  <Pages>11</Pages>
  <Words>2643</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hilda yamile</cp:lastModifiedBy>
  <cp:revision>14</cp:revision>
  <cp:lastPrinted>2020-06-26T13:11:00Z</cp:lastPrinted>
  <dcterms:created xsi:type="dcterms:W3CDTF">2020-05-28T16:34:00Z</dcterms:created>
  <dcterms:modified xsi:type="dcterms:W3CDTF">2021-06-11T23:17:00Z</dcterms:modified>
</cp:coreProperties>
</file>