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3AA7" w:rsidRDefault="00FC3AA7">
      <w:pPr>
        <w:pStyle w:val="Textoindependiente"/>
        <w:rPr>
          <w:rFonts w:ascii="Times New Roman"/>
          <w:sz w:val="20"/>
        </w:rPr>
      </w:pPr>
    </w:p>
    <w:p w:rsidR="00FC3AA7" w:rsidRDefault="002111DA">
      <w:pPr>
        <w:pStyle w:val="Textoindependiente"/>
        <w:spacing w:before="1" w:after="1"/>
        <w:rPr>
          <w:rFonts w:ascii="Times New Roman"/>
          <w:sz w:val="15"/>
        </w:rPr>
      </w:pPr>
      <w:r>
        <w:rPr>
          <w:noProof/>
          <w:lang w:bidi="ar-SA"/>
        </w:rPr>
        <mc:AlternateContent>
          <mc:Choice Requires="wps">
            <w:drawing>
              <wp:anchor distT="0" distB="0" distL="0" distR="0" simplePos="0" relativeHeight="251658240" behindDoc="1" locked="0" layoutInCell="1" allowOverlap="1">
                <wp:simplePos x="0" y="0"/>
                <wp:positionH relativeFrom="page">
                  <wp:posOffset>7600950</wp:posOffset>
                </wp:positionH>
                <wp:positionV relativeFrom="paragraph">
                  <wp:posOffset>4583430</wp:posOffset>
                </wp:positionV>
                <wp:extent cx="3412490" cy="457200"/>
                <wp:effectExtent l="0" t="0" r="16510" b="19050"/>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12490" cy="4572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FC3AA7" w:rsidRDefault="00A979B1">
                            <w:pPr>
                              <w:spacing w:before="76"/>
                              <w:ind w:left="146"/>
                              <w:rPr>
                                <w:rFonts w:ascii="Trebuchet MS"/>
                              </w:rPr>
                            </w:pPr>
                            <w:r>
                              <w:rPr>
                                <w:b/>
                                <w:sz w:val="20"/>
                              </w:rPr>
                              <w:t xml:space="preserve">Apoderado de la Entidad: </w:t>
                            </w:r>
                            <w:r>
                              <w:rPr>
                                <w:sz w:val="20"/>
                              </w:rPr>
                              <w:t xml:space="preserve">Dr. </w:t>
                            </w:r>
                            <w:r w:rsidR="002111DA">
                              <w:rPr>
                                <w:sz w:val="20"/>
                              </w:rPr>
                              <w:t>Carlos Eduardo Martínez Marulanda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598.5pt;margin-top:360.9pt;width:268.7pt;height:36pt;z-index:-25165824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" filled="f">
                <v:textbox inset="0,0,0,0">
                  <w:txbxContent>
                    <w:p w:rsidR="00FC3AA7" w:rsidRDefault="00A979B1">
                      <w:pPr>
                        <w:spacing w:before="76"/>
                        <w:ind w:left="146"/>
                        <w:rPr>
                          <w:rFonts w:ascii="Trebuchet MS"/>
                        </w:rPr>
                      </w:pPr>
                      <w:r>
                        <w:rPr>
                          <w:b/>
                          <w:sz w:val="20"/>
                        </w:rPr>
                        <w:t xml:space="preserve">Apoderado de la Entidad: </w:t>
                      </w:r>
                      <w:r>
                        <w:rPr>
                          <w:sz w:val="20"/>
                        </w:rPr>
                        <w:t xml:space="preserve">Dr. </w:t>
                      </w:r>
                      <w:r w:rsidR="002111DA">
                        <w:rPr>
                          <w:sz w:val="20"/>
                        </w:rPr>
                        <w:t>Carlos Eduardo Martínez Marulanda</w:t>
                      </w:r>
                    </w:p>
                  </w:txbxContent>
                </v:textbox>
                <w10:wrap type="topAndBottom" anchorx="page"/>
              </v:shape>
            </w:pict>
          </mc:Fallback>
        </mc:AlternateContent>
      </w:r>
    </w:p>
    <w:tbl>
      <w:tblPr>
        <w:tblStyle w:val="TableNormal"/>
        <w:tblW w:w="0" w:type="auto"/>
        <w:tblInd w:w="1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65"/>
        <w:gridCol w:w="2932"/>
        <w:gridCol w:w="3144"/>
        <w:gridCol w:w="3329"/>
        <w:gridCol w:w="1349"/>
        <w:gridCol w:w="2231"/>
      </w:tblGrid>
      <w:tr w:rsidR="00FC3AA7" w:rsidRPr="00AC46AD" w:rsidTr="00AC46AD">
        <w:trPr>
          <w:trHeight w:val="515"/>
        </w:trPr>
        <w:tc>
          <w:tcPr>
            <w:tcW w:w="15750" w:type="dxa"/>
            <w:gridSpan w:val="6"/>
          </w:tcPr>
          <w:p w:rsidR="00FC3AA7" w:rsidRPr="00AC46AD" w:rsidRDefault="00A979B1" w:rsidP="00CB4605">
            <w:pPr>
              <w:pStyle w:val="TableParagraph"/>
              <w:spacing w:before="104"/>
              <w:ind w:left="5691" w:right="5682"/>
              <w:jc w:val="center"/>
              <w:rPr>
                <w:b/>
                <w:sz w:val="16"/>
                <w:szCs w:val="16"/>
              </w:rPr>
            </w:pPr>
            <w:r w:rsidRPr="00AC46AD">
              <w:rPr>
                <w:b/>
                <w:sz w:val="16"/>
                <w:szCs w:val="16"/>
              </w:rPr>
              <w:t>INFORM</w:t>
            </w:r>
            <w:r w:rsidR="00721754" w:rsidRPr="00AC46AD">
              <w:rPr>
                <w:b/>
                <w:sz w:val="16"/>
                <w:szCs w:val="16"/>
              </w:rPr>
              <w:t xml:space="preserve">E DE DEFENSA JUDICIAL VIGENTE </w:t>
            </w:r>
            <w:r w:rsidR="00990DD1">
              <w:rPr>
                <w:b/>
                <w:sz w:val="16"/>
                <w:szCs w:val="16"/>
              </w:rPr>
              <w:t>31</w:t>
            </w:r>
            <w:r w:rsidR="00FF4217">
              <w:rPr>
                <w:b/>
                <w:sz w:val="16"/>
                <w:szCs w:val="16"/>
                <w:lang w:val="es-419"/>
              </w:rPr>
              <w:t>/</w:t>
            </w:r>
            <w:r w:rsidR="00990DD1">
              <w:rPr>
                <w:b/>
                <w:sz w:val="16"/>
                <w:szCs w:val="16"/>
                <w:lang w:val="es-419"/>
              </w:rPr>
              <w:t>10</w:t>
            </w:r>
            <w:r w:rsidRPr="00AC46AD">
              <w:rPr>
                <w:b/>
                <w:sz w:val="16"/>
                <w:szCs w:val="16"/>
              </w:rPr>
              <w:t>/20</w:t>
            </w:r>
            <w:r w:rsidR="0044141F">
              <w:rPr>
                <w:b/>
                <w:sz w:val="16"/>
                <w:szCs w:val="16"/>
              </w:rPr>
              <w:t>20</w:t>
            </w:r>
            <w:r w:rsidRPr="00AC46AD">
              <w:rPr>
                <w:b/>
                <w:sz w:val="16"/>
                <w:szCs w:val="16"/>
              </w:rPr>
              <w:t>.</w:t>
            </w:r>
          </w:p>
        </w:tc>
      </w:tr>
      <w:tr w:rsidR="00FC3AA7" w:rsidRPr="00AC46AD" w:rsidTr="00AC46AD">
        <w:trPr>
          <w:trHeight w:val="782"/>
        </w:trPr>
        <w:tc>
          <w:tcPr>
            <w:tcW w:w="2765" w:type="dxa"/>
          </w:tcPr>
          <w:p w:rsidR="00FC3AA7" w:rsidRPr="00AC46AD" w:rsidRDefault="00A979B1" w:rsidP="00E15791">
            <w:pPr>
              <w:pStyle w:val="TableParagraph"/>
              <w:ind w:left="146"/>
              <w:rPr>
                <w:b/>
                <w:sz w:val="16"/>
                <w:szCs w:val="16"/>
              </w:rPr>
            </w:pPr>
            <w:r w:rsidRPr="00AC46AD">
              <w:rPr>
                <w:b/>
                <w:sz w:val="16"/>
                <w:szCs w:val="16"/>
              </w:rPr>
              <w:t>N. DE DEMANDAS/ DENUNCIAS</w:t>
            </w:r>
          </w:p>
        </w:tc>
        <w:tc>
          <w:tcPr>
            <w:tcW w:w="2932" w:type="dxa"/>
          </w:tcPr>
          <w:p w:rsidR="00FC3AA7" w:rsidRPr="00AC46AD" w:rsidRDefault="00A979B1" w:rsidP="00E15791">
            <w:pPr>
              <w:pStyle w:val="TableParagraph"/>
              <w:ind w:left="758" w:hanging="519"/>
              <w:rPr>
                <w:b/>
                <w:sz w:val="16"/>
                <w:szCs w:val="16"/>
              </w:rPr>
            </w:pPr>
            <w:r w:rsidRPr="00AC46AD">
              <w:rPr>
                <w:b/>
                <w:sz w:val="16"/>
                <w:szCs w:val="16"/>
              </w:rPr>
              <w:t>DEMANDANTE/ DENUNCIANTE</w:t>
            </w:r>
          </w:p>
        </w:tc>
        <w:tc>
          <w:tcPr>
            <w:tcW w:w="3144" w:type="dxa"/>
          </w:tcPr>
          <w:p w:rsidR="00FC3AA7" w:rsidRPr="00AC46AD" w:rsidRDefault="00A979B1" w:rsidP="00E15791">
            <w:pPr>
              <w:pStyle w:val="TableParagraph"/>
              <w:ind w:left="588" w:right="529" w:hanging="304"/>
              <w:rPr>
                <w:b/>
                <w:sz w:val="16"/>
                <w:szCs w:val="16"/>
              </w:rPr>
            </w:pPr>
            <w:r w:rsidRPr="00AC46AD">
              <w:rPr>
                <w:b/>
                <w:sz w:val="16"/>
                <w:szCs w:val="16"/>
              </w:rPr>
              <w:t>DEMANDADO / DENUNCIADO</w:t>
            </w:r>
          </w:p>
        </w:tc>
        <w:tc>
          <w:tcPr>
            <w:tcW w:w="3329" w:type="dxa"/>
          </w:tcPr>
          <w:p w:rsidR="00FC3AA7" w:rsidRPr="00AC46AD" w:rsidRDefault="00A979B1" w:rsidP="00E15791">
            <w:pPr>
              <w:pStyle w:val="TableParagraph"/>
              <w:ind w:left="420" w:right="413"/>
              <w:jc w:val="center"/>
              <w:rPr>
                <w:b/>
                <w:sz w:val="16"/>
                <w:szCs w:val="16"/>
              </w:rPr>
            </w:pPr>
            <w:r w:rsidRPr="00AC46AD">
              <w:rPr>
                <w:b/>
                <w:sz w:val="16"/>
                <w:szCs w:val="16"/>
              </w:rPr>
              <w:t>ESTADO</w:t>
            </w:r>
          </w:p>
        </w:tc>
        <w:tc>
          <w:tcPr>
            <w:tcW w:w="1349" w:type="dxa"/>
          </w:tcPr>
          <w:p w:rsidR="00FC3AA7" w:rsidRPr="00AC46AD" w:rsidRDefault="00A979B1" w:rsidP="00E15791">
            <w:pPr>
              <w:pStyle w:val="TableParagraph"/>
              <w:ind w:left="254"/>
              <w:rPr>
                <w:b/>
                <w:sz w:val="16"/>
                <w:szCs w:val="16"/>
              </w:rPr>
            </w:pPr>
            <w:r w:rsidRPr="00AC46AD">
              <w:rPr>
                <w:b/>
                <w:sz w:val="16"/>
                <w:szCs w:val="16"/>
              </w:rPr>
              <w:t>CUANTÍA</w:t>
            </w:r>
          </w:p>
        </w:tc>
        <w:tc>
          <w:tcPr>
            <w:tcW w:w="2231" w:type="dxa"/>
          </w:tcPr>
          <w:p w:rsidR="00FC3AA7" w:rsidRPr="00AC46AD" w:rsidRDefault="00A979B1" w:rsidP="00E15791">
            <w:pPr>
              <w:pStyle w:val="TableParagraph"/>
              <w:ind w:left="622" w:hanging="271"/>
              <w:rPr>
                <w:b/>
                <w:sz w:val="16"/>
                <w:szCs w:val="16"/>
              </w:rPr>
            </w:pPr>
            <w:r w:rsidRPr="00AC46AD">
              <w:rPr>
                <w:b/>
                <w:sz w:val="16"/>
                <w:szCs w:val="16"/>
              </w:rPr>
              <w:t>RIESGO DE PERDIDA</w:t>
            </w:r>
          </w:p>
        </w:tc>
      </w:tr>
      <w:tr w:rsidR="00FC3AA7" w:rsidRPr="00AC46AD" w:rsidTr="00E15791">
        <w:trPr>
          <w:trHeight w:val="1399"/>
        </w:trPr>
        <w:tc>
          <w:tcPr>
            <w:tcW w:w="2765" w:type="dxa"/>
          </w:tcPr>
          <w:p w:rsidR="00FC3AA7" w:rsidRPr="00AC46AD" w:rsidRDefault="00A979B1" w:rsidP="00E15791">
            <w:pPr>
              <w:pStyle w:val="TableParagraph"/>
              <w:spacing w:before="141"/>
              <w:ind w:left="107"/>
              <w:rPr>
                <w:b/>
                <w:sz w:val="16"/>
                <w:szCs w:val="16"/>
              </w:rPr>
            </w:pPr>
            <w:r w:rsidRPr="00AC46AD">
              <w:rPr>
                <w:b/>
                <w:w w:val="95"/>
                <w:sz w:val="16"/>
                <w:szCs w:val="16"/>
              </w:rPr>
              <w:t xml:space="preserve">1. </w:t>
            </w:r>
            <w:r w:rsidR="007F78FE" w:rsidRPr="007F78FE">
              <w:rPr>
                <w:sz w:val="16"/>
                <w:szCs w:val="16"/>
              </w:rPr>
              <w:t>Proceso Ejecutivo Singular De Mayor Cuantía (Derivado De Una Acción De Repetición</w:t>
            </w:r>
            <w:r w:rsidR="007F78FE">
              <w:rPr>
                <w:sz w:val="16"/>
                <w:szCs w:val="16"/>
              </w:rPr>
              <w:t>)</w:t>
            </w:r>
          </w:p>
        </w:tc>
        <w:tc>
          <w:tcPr>
            <w:tcW w:w="2932" w:type="dxa"/>
          </w:tcPr>
          <w:p w:rsidR="00FC3AA7" w:rsidRPr="00AC46AD" w:rsidRDefault="00A979B1" w:rsidP="00E15791">
            <w:pPr>
              <w:pStyle w:val="TableParagraph"/>
              <w:spacing w:before="106"/>
              <w:ind w:left="105" w:right="87"/>
              <w:rPr>
                <w:sz w:val="16"/>
                <w:szCs w:val="16"/>
              </w:rPr>
            </w:pPr>
            <w:r w:rsidRPr="00AC46AD">
              <w:rPr>
                <w:sz w:val="16"/>
                <w:szCs w:val="16"/>
              </w:rPr>
              <w:t>Instituto para la investigación Educativa y el Desarrollo Pedagógico – IDEP.</w:t>
            </w:r>
          </w:p>
        </w:tc>
        <w:tc>
          <w:tcPr>
            <w:tcW w:w="3144" w:type="dxa"/>
          </w:tcPr>
          <w:p w:rsidR="00FC3AA7" w:rsidRPr="00AC46AD" w:rsidRDefault="00A979B1" w:rsidP="00E15791">
            <w:pPr>
              <w:pStyle w:val="TableParagraph"/>
              <w:spacing w:before="106"/>
              <w:ind w:right="359"/>
              <w:rPr>
                <w:sz w:val="16"/>
                <w:szCs w:val="16"/>
              </w:rPr>
            </w:pPr>
            <w:r w:rsidRPr="00AC46AD">
              <w:rPr>
                <w:sz w:val="16"/>
                <w:szCs w:val="16"/>
              </w:rPr>
              <w:t>María Magdalena Morales Sarmiento</w:t>
            </w:r>
          </w:p>
        </w:tc>
        <w:tc>
          <w:tcPr>
            <w:tcW w:w="3329" w:type="dxa"/>
          </w:tcPr>
          <w:p w:rsidR="00FF12B2" w:rsidRPr="00AC46AD" w:rsidRDefault="00E15791" w:rsidP="00E15791">
            <w:pPr>
              <w:pStyle w:val="TableParagraph"/>
              <w:spacing w:before="105" w:after="240"/>
              <w:ind w:left="170" w:right="415"/>
              <w:jc w:val="both"/>
              <w:rPr>
                <w:sz w:val="16"/>
                <w:szCs w:val="16"/>
              </w:rPr>
            </w:pPr>
            <w:r>
              <w:rPr>
                <w:sz w:val="16"/>
                <w:szCs w:val="16"/>
              </w:rPr>
              <w:t xml:space="preserve">Se continua a la espera de la información emitida por las entidades financieras que permita el embargo y retención de los dineros que se encuentren disponibles a nombre de la señora </w:t>
            </w:r>
            <w:r w:rsidRPr="00AC46AD">
              <w:rPr>
                <w:sz w:val="16"/>
                <w:szCs w:val="16"/>
              </w:rPr>
              <w:t>María Magdalena Morales Sarmiento</w:t>
            </w:r>
          </w:p>
        </w:tc>
        <w:tc>
          <w:tcPr>
            <w:tcW w:w="1349" w:type="dxa"/>
          </w:tcPr>
          <w:p w:rsidR="00FC3AA7" w:rsidRPr="00AC46AD" w:rsidRDefault="00A979B1" w:rsidP="00E15791">
            <w:pPr>
              <w:pStyle w:val="TableParagraph"/>
              <w:spacing w:before="106"/>
              <w:rPr>
                <w:sz w:val="16"/>
                <w:szCs w:val="16"/>
              </w:rPr>
            </w:pPr>
            <w:r w:rsidRPr="00AC46AD">
              <w:rPr>
                <w:sz w:val="16"/>
                <w:szCs w:val="16"/>
              </w:rPr>
              <w:t>$ 705.168.401</w:t>
            </w:r>
          </w:p>
        </w:tc>
        <w:tc>
          <w:tcPr>
            <w:tcW w:w="2231" w:type="dxa"/>
          </w:tcPr>
          <w:p w:rsidR="00FC3AA7" w:rsidRPr="00AC46AD" w:rsidRDefault="00A979B1" w:rsidP="00E15791">
            <w:pPr>
              <w:pStyle w:val="TableParagraph"/>
              <w:spacing w:before="99"/>
              <w:rPr>
                <w:sz w:val="16"/>
                <w:szCs w:val="16"/>
              </w:rPr>
            </w:pPr>
            <w:r w:rsidRPr="00AC46AD">
              <w:rPr>
                <w:sz w:val="16"/>
                <w:szCs w:val="16"/>
              </w:rPr>
              <w:t>Bajo</w:t>
            </w:r>
          </w:p>
        </w:tc>
      </w:tr>
      <w:tr w:rsidR="00FC3AA7" w:rsidRPr="00AC46AD" w:rsidTr="00E15791">
        <w:trPr>
          <w:trHeight w:val="473"/>
        </w:trPr>
        <w:tc>
          <w:tcPr>
            <w:tcW w:w="2765" w:type="dxa"/>
          </w:tcPr>
          <w:p w:rsidR="00FC3AA7" w:rsidRPr="008378A9" w:rsidRDefault="00A979B1" w:rsidP="00E15791">
            <w:pPr>
              <w:pStyle w:val="TableParagraph"/>
              <w:spacing w:before="138"/>
              <w:ind w:left="355" w:right="512" w:hanging="248"/>
              <w:rPr>
                <w:sz w:val="16"/>
                <w:szCs w:val="16"/>
              </w:rPr>
            </w:pPr>
            <w:r w:rsidRPr="008378A9">
              <w:rPr>
                <w:w w:val="90"/>
                <w:sz w:val="16"/>
                <w:szCs w:val="16"/>
              </w:rPr>
              <w:t xml:space="preserve">2. Proceso administrativo </w:t>
            </w:r>
            <w:r w:rsidRPr="008378A9">
              <w:rPr>
                <w:sz w:val="16"/>
                <w:szCs w:val="16"/>
              </w:rPr>
              <w:t>nulidad simple</w:t>
            </w:r>
          </w:p>
        </w:tc>
        <w:tc>
          <w:tcPr>
            <w:tcW w:w="2932" w:type="dxa"/>
          </w:tcPr>
          <w:p w:rsidR="00FC3AA7" w:rsidRPr="00AC46AD" w:rsidRDefault="00A979B1" w:rsidP="00E15791">
            <w:pPr>
              <w:pStyle w:val="TableParagraph"/>
              <w:ind w:left="105"/>
              <w:rPr>
                <w:sz w:val="16"/>
                <w:szCs w:val="16"/>
              </w:rPr>
            </w:pPr>
            <w:r w:rsidRPr="00AC46AD">
              <w:rPr>
                <w:sz w:val="16"/>
                <w:szCs w:val="16"/>
              </w:rPr>
              <w:t xml:space="preserve">Pedro Emilio Rodríguez </w:t>
            </w:r>
            <w:proofErr w:type="spellStart"/>
            <w:r w:rsidRPr="00AC46AD">
              <w:rPr>
                <w:sz w:val="16"/>
                <w:szCs w:val="16"/>
              </w:rPr>
              <w:t>Velandía</w:t>
            </w:r>
            <w:proofErr w:type="spellEnd"/>
          </w:p>
        </w:tc>
        <w:tc>
          <w:tcPr>
            <w:tcW w:w="3144" w:type="dxa"/>
          </w:tcPr>
          <w:p w:rsidR="00FC3AA7" w:rsidRPr="00AC46AD" w:rsidRDefault="00A979B1" w:rsidP="00E15791">
            <w:pPr>
              <w:pStyle w:val="TableParagraph"/>
              <w:rPr>
                <w:sz w:val="16"/>
                <w:szCs w:val="16"/>
              </w:rPr>
            </w:pPr>
            <w:r w:rsidRPr="00AC46AD">
              <w:rPr>
                <w:sz w:val="16"/>
                <w:szCs w:val="16"/>
              </w:rPr>
              <w:t>Instituto para la investigación Educativa y el Desarrollo Pedagógico – IDEP.</w:t>
            </w:r>
          </w:p>
        </w:tc>
        <w:tc>
          <w:tcPr>
            <w:tcW w:w="3329" w:type="dxa"/>
          </w:tcPr>
          <w:p w:rsidR="00FC3AA7" w:rsidRPr="00AC46AD" w:rsidRDefault="007F78FE" w:rsidP="00E15791">
            <w:pPr>
              <w:pStyle w:val="TableParagraph"/>
              <w:spacing w:before="105" w:after="240"/>
              <w:ind w:left="170" w:right="415"/>
              <w:jc w:val="both"/>
              <w:rPr>
                <w:sz w:val="16"/>
                <w:szCs w:val="16"/>
                <w:lang w:val="es-419"/>
              </w:rPr>
            </w:pPr>
            <w:r w:rsidRPr="007F78FE">
              <w:rPr>
                <w:sz w:val="16"/>
                <w:szCs w:val="16"/>
              </w:rPr>
              <w:t>Actualmente el proceso se encuentra en el Consejo de Estado, Sección Segunda Subsección B a la espera de decisión de fondo.</w:t>
            </w:r>
          </w:p>
        </w:tc>
        <w:tc>
          <w:tcPr>
            <w:tcW w:w="1349" w:type="dxa"/>
          </w:tcPr>
          <w:p w:rsidR="00FC3AA7" w:rsidRPr="00AC46AD" w:rsidRDefault="00A979B1" w:rsidP="00E15791">
            <w:pPr>
              <w:pStyle w:val="TableParagraph"/>
              <w:rPr>
                <w:sz w:val="16"/>
                <w:szCs w:val="16"/>
              </w:rPr>
            </w:pPr>
            <w:r w:rsidRPr="00AC46AD">
              <w:rPr>
                <w:sz w:val="16"/>
                <w:szCs w:val="16"/>
              </w:rPr>
              <w:t>N.A.</w:t>
            </w:r>
          </w:p>
        </w:tc>
        <w:tc>
          <w:tcPr>
            <w:tcW w:w="2231" w:type="dxa"/>
          </w:tcPr>
          <w:p w:rsidR="00FC3AA7" w:rsidRPr="00AC46AD" w:rsidRDefault="00A979B1" w:rsidP="00E15791">
            <w:pPr>
              <w:pStyle w:val="TableParagraph"/>
              <w:spacing w:before="96"/>
              <w:rPr>
                <w:sz w:val="16"/>
                <w:szCs w:val="16"/>
              </w:rPr>
            </w:pPr>
            <w:r w:rsidRPr="00AC46AD">
              <w:rPr>
                <w:sz w:val="16"/>
                <w:szCs w:val="16"/>
              </w:rPr>
              <w:t>Bajo</w:t>
            </w:r>
          </w:p>
        </w:tc>
      </w:tr>
      <w:tr w:rsidR="007E2CCE" w:rsidRPr="00AC46AD" w:rsidTr="00E15791">
        <w:trPr>
          <w:trHeight w:val="473"/>
        </w:trPr>
        <w:tc>
          <w:tcPr>
            <w:tcW w:w="2765" w:type="dxa"/>
          </w:tcPr>
          <w:p w:rsidR="007E2CCE" w:rsidRPr="008378A9" w:rsidRDefault="007E2CCE" w:rsidP="007E2CCE">
            <w:pPr>
              <w:pStyle w:val="TableParagraph"/>
              <w:spacing w:before="138"/>
              <w:ind w:left="355" w:right="369" w:hanging="248"/>
              <w:rPr>
                <w:w w:val="95"/>
                <w:sz w:val="16"/>
                <w:szCs w:val="16"/>
              </w:rPr>
            </w:pPr>
            <w:r w:rsidRPr="008378A9">
              <w:rPr>
                <w:w w:val="90"/>
                <w:sz w:val="16"/>
                <w:szCs w:val="16"/>
              </w:rPr>
              <w:t xml:space="preserve">3. Proceso administrativo </w:t>
            </w:r>
            <w:r w:rsidRPr="008378A9">
              <w:rPr>
                <w:sz w:val="16"/>
                <w:szCs w:val="16"/>
              </w:rPr>
              <w:t>nulidad simple</w:t>
            </w:r>
          </w:p>
        </w:tc>
        <w:tc>
          <w:tcPr>
            <w:tcW w:w="2932" w:type="dxa"/>
          </w:tcPr>
          <w:p w:rsidR="007E2CCE" w:rsidRPr="00AC46AD" w:rsidRDefault="007E2CCE" w:rsidP="007E2CCE">
            <w:pPr>
              <w:pStyle w:val="TableParagraph"/>
              <w:ind w:left="105" w:right="87"/>
              <w:rPr>
                <w:sz w:val="16"/>
                <w:szCs w:val="16"/>
              </w:rPr>
            </w:pPr>
            <w:r w:rsidRPr="00AC46AD">
              <w:rPr>
                <w:sz w:val="16"/>
                <w:szCs w:val="16"/>
              </w:rPr>
              <w:t>Martha Ivvete Ramírez Navarrete</w:t>
            </w:r>
          </w:p>
        </w:tc>
        <w:tc>
          <w:tcPr>
            <w:tcW w:w="3144" w:type="dxa"/>
          </w:tcPr>
          <w:p w:rsidR="007E2CCE" w:rsidRPr="00AC46AD" w:rsidRDefault="007E2CCE" w:rsidP="007E2CCE">
            <w:pPr>
              <w:pStyle w:val="TableParagraph"/>
              <w:ind w:right="491"/>
              <w:rPr>
                <w:sz w:val="16"/>
                <w:szCs w:val="16"/>
              </w:rPr>
            </w:pPr>
            <w:r w:rsidRPr="00AC46AD">
              <w:rPr>
                <w:sz w:val="16"/>
                <w:szCs w:val="16"/>
              </w:rPr>
              <w:t>CNSC y otras entidades incluyendo el Instituto para la investigación Educativa y el Desarrollo Pedagógico – IDEP</w:t>
            </w:r>
          </w:p>
        </w:tc>
        <w:tc>
          <w:tcPr>
            <w:tcW w:w="3329" w:type="dxa"/>
          </w:tcPr>
          <w:p w:rsidR="007E2CCE" w:rsidRPr="00AC46AD" w:rsidRDefault="007E2CCE" w:rsidP="007E2CCE">
            <w:pPr>
              <w:pStyle w:val="TableParagraph"/>
              <w:spacing w:before="105" w:after="240"/>
              <w:ind w:left="170" w:right="415"/>
              <w:jc w:val="both"/>
              <w:rPr>
                <w:sz w:val="16"/>
                <w:szCs w:val="16"/>
              </w:rPr>
            </w:pPr>
            <w:r w:rsidRPr="007E2CCE">
              <w:rPr>
                <w:sz w:val="16"/>
                <w:szCs w:val="16"/>
              </w:rPr>
              <w:t xml:space="preserve">Actualmente el proceso se encuentra en el </w:t>
            </w:r>
            <w:r>
              <w:rPr>
                <w:sz w:val="16"/>
                <w:szCs w:val="16"/>
              </w:rPr>
              <w:t xml:space="preserve">  </w:t>
            </w:r>
            <w:r w:rsidRPr="007E2CCE">
              <w:rPr>
                <w:sz w:val="16"/>
                <w:szCs w:val="16"/>
              </w:rPr>
              <w:t>Consejo de Estado, Sección Segunda Subsección B a la espera de decisión de fondo.</w:t>
            </w:r>
          </w:p>
        </w:tc>
        <w:tc>
          <w:tcPr>
            <w:tcW w:w="1349" w:type="dxa"/>
          </w:tcPr>
          <w:p w:rsidR="007E2CCE" w:rsidRPr="00172C68" w:rsidRDefault="007E2CCE" w:rsidP="007E2CCE">
            <w:pPr>
              <w:pStyle w:val="TableParagraph"/>
              <w:rPr>
                <w:sz w:val="16"/>
                <w:szCs w:val="16"/>
              </w:rPr>
            </w:pPr>
            <w:r w:rsidRPr="00172C68">
              <w:rPr>
                <w:sz w:val="16"/>
                <w:szCs w:val="16"/>
              </w:rPr>
              <w:t>N/A</w:t>
            </w:r>
          </w:p>
        </w:tc>
        <w:tc>
          <w:tcPr>
            <w:tcW w:w="2231" w:type="dxa"/>
          </w:tcPr>
          <w:p w:rsidR="007E2CCE" w:rsidRPr="00172C68" w:rsidRDefault="007E2CCE" w:rsidP="007E2CCE">
            <w:pPr>
              <w:pStyle w:val="TableParagraph"/>
              <w:spacing w:before="96"/>
              <w:rPr>
                <w:sz w:val="16"/>
                <w:szCs w:val="16"/>
              </w:rPr>
            </w:pPr>
            <w:r w:rsidRPr="00172C68">
              <w:rPr>
                <w:sz w:val="16"/>
                <w:szCs w:val="16"/>
              </w:rPr>
              <w:t>Bajo</w:t>
            </w:r>
          </w:p>
        </w:tc>
      </w:tr>
      <w:tr w:rsidR="007E2CCE" w:rsidRPr="00AC46AD" w:rsidTr="005C2220">
        <w:trPr>
          <w:trHeight w:val="844"/>
        </w:trPr>
        <w:tc>
          <w:tcPr>
            <w:tcW w:w="2765" w:type="dxa"/>
          </w:tcPr>
          <w:p w:rsidR="007E2CCE" w:rsidRPr="008378A9" w:rsidRDefault="007E2CCE" w:rsidP="007E2CCE">
            <w:pPr>
              <w:pStyle w:val="TableParagraph"/>
              <w:spacing w:before="138"/>
              <w:ind w:left="355" w:right="512" w:hanging="248"/>
              <w:rPr>
                <w:sz w:val="16"/>
                <w:szCs w:val="16"/>
              </w:rPr>
            </w:pPr>
            <w:r w:rsidRPr="008378A9">
              <w:rPr>
                <w:w w:val="95"/>
                <w:sz w:val="16"/>
                <w:szCs w:val="16"/>
              </w:rPr>
              <w:t xml:space="preserve">4. Demanda de reparación </w:t>
            </w:r>
            <w:r w:rsidRPr="008378A9">
              <w:rPr>
                <w:sz w:val="16"/>
                <w:szCs w:val="16"/>
              </w:rPr>
              <w:t>directa</w:t>
            </w:r>
          </w:p>
        </w:tc>
        <w:tc>
          <w:tcPr>
            <w:tcW w:w="2932" w:type="dxa"/>
          </w:tcPr>
          <w:p w:rsidR="007E2CCE" w:rsidRPr="00AC46AD" w:rsidRDefault="007E2CCE" w:rsidP="007E2CCE">
            <w:pPr>
              <w:pStyle w:val="TableParagraph"/>
              <w:ind w:left="105"/>
              <w:rPr>
                <w:sz w:val="16"/>
                <w:szCs w:val="16"/>
              </w:rPr>
            </w:pPr>
            <w:r w:rsidRPr="00AC46AD">
              <w:rPr>
                <w:sz w:val="16"/>
                <w:szCs w:val="16"/>
              </w:rPr>
              <w:t>Empresa de telecomunicaciones de Bogotá – E.T.B.</w:t>
            </w:r>
          </w:p>
        </w:tc>
        <w:tc>
          <w:tcPr>
            <w:tcW w:w="3144" w:type="dxa"/>
          </w:tcPr>
          <w:p w:rsidR="007E2CCE" w:rsidRPr="00AC46AD" w:rsidRDefault="007E2CCE" w:rsidP="007E2CCE">
            <w:pPr>
              <w:pStyle w:val="TableParagraph"/>
              <w:rPr>
                <w:sz w:val="16"/>
                <w:szCs w:val="16"/>
              </w:rPr>
            </w:pPr>
            <w:r w:rsidRPr="00AC46AD">
              <w:rPr>
                <w:sz w:val="16"/>
                <w:szCs w:val="16"/>
              </w:rPr>
              <w:t>Instituto para la investigación Educativa y el Desarrollo Pedagógico – IDEP.</w:t>
            </w:r>
          </w:p>
        </w:tc>
        <w:tc>
          <w:tcPr>
            <w:tcW w:w="3329" w:type="dxa"/>
          </w:tcPr>
          <w:p w:rsidR="007E2CCE" w:rsidRPr="00AC46AD" w:rsidRDefault="007E2CCE" w:rsidP="007E2CCE">
            <w:pPr>
              <w:pStyle w:val="TableParagraph"/>
              <w:spacing w:before="105" w:after="240"/>
              <w:ind w:right="415"/>
              <w:jc w:val="both"/>
              <w:rPr>
                <w:sz w:val="16"/>
                <w:szCs w:val="16"/>
              </w:rPr>
            </w:pPr>
            <w:r>
              <w:rPr>
                <w:sz w:val="16"/>
                <w:szCs w:val="16"/>
              </w:rPr>
              <w:t>S</w:t>
            </w:r>
            <w:r w:rsidRPr="007E2CCE">
              <w:rPr>
                <w:sz w:val="16"/>
                <w:szCs w:val="16"/>
              </w:rPr>
              <w:t>e concedió el recurso de apelación al fallo de primera instancia y se remitió el expediente al Tribunal Administrativo de Cundinamarca.</w:t>
            </w:r>
          </w:p>
        </w:tc>
        <w:tc>
          <w:tcPr>
            <w:tcW w:w="1349" w:type="dxa"/>
          </w:tcPr>
          <w:p w:rsidR="007E2CCE" w:rsidRPr="00AC46AD" w:rsidRDefault="007E2CCE" w:rsidP="007E2CCE">
            <w:pPr>
              <w:pStyle w:val="TableParagraph"/>
              <w:rPr>
                <w:sz w:val="16"/>
                <w:szCs w:val="16"/>
              </w:rPr>
            </w:pPr>
            <w:r w:rsidRPr="00AC46AD">
              <w:rPr>
                <w:sz w:val="16"/>
                <w:szCs w:val="16"/>
              </w:rPr>
              <w:t>$6.984.854</w:t>
            </w:r>
          </w:p>
        </w:tc>
        <w:tc>
          <w:tcPr>
            <w:tcW w:w="2231" w:type="dxa"/>
          </w:tcPr>
          <w:p w:rsidR="007E2CCE" w:rsidRPr="00AC46AD" w:rsidRDefault="007E2CCE" w:rsidP="007E2CCE">
            <w:pPr>
              <w:pStyle w:val="TableParagraph"/>
              <w:spacing w:before="96"/>
              <w:rPr>
                <w:sz w:val="16"/>
                <w:szCs w:val="16"/>
              </w:rPr>
            </w:pPr>
            <w:r w:rsidRPr="00AC46AD">
              <w:rPr>
                <w:sz w:val="16"/>
                <w:szCs w:val="16"/>
              </w:rPr>
              <w:t>Bajo</w:t>
            </w:r>
          </w:p>
        </w:tc>
      </w:tr>
    </w:tbl>
    <w:p w:rsidR="00FC3AA7" w:rsidRDefault="00FC3AA7" w:rsidP="007E2CCE">
      <w:pPr>
        <w:pStyle w:val="Textoindependiente"/>
        <w:rPr>
          <w:rFonts w:ascii="Times New Roman"/>
          <w:sz w:val="18"/>
        </w:rPr>
      </w:pPr>
    </w:p>
    <w:p w:rsidR="005C2220" w:rsidRDefault="005C2220" w:rsidP="00B91AC2">
      <w:pPr>
        <w:pStyle w:val="Textoindependiente"/>
        <w:ind w:left="155" w:right="859"/>
        <w:jc w:val="both"/>
        <w:rPr>
          <w:color w:val="17365D"/>
        </w:rPr>
      </w:pPr>
      <w:r>
        <w:rPr>
          <w:color w:val="17365D"/>
        </w:rPr>
        <w:t>*</w:t>
      </w:r>
      <w:r w:rsidRPr="005C2220">
        <w:rPr>
          <w:color w:val="17365D"/>
        </w:rPr>
        <w:t>Es preciso indicar que teniendo en cuenta la emergencia sanitaria ocasionada por el COVID 19, a raíz de la extensión de las medidas de aislamiento tomadas en todo el territorio nacional por parte del Gobierno Nacional, el Consejo Superior de la Judicatura ha venido prorrogando la medida de suspensión de términos, con algunas excepciones, dentro de las cuales no están los proceso de los que hace parte el IDEP. En este sentido, no se han realizado actuaciones judiciales.</w:t>
      </w:r>
    </w:p>
    <w:p w:rsidR="005C2220" w:rsidRDefault="005C2220">
      <w:pPr>
        <w:pStyle w:val="Textoindependiente"/>
        <w:ind w:left="155"/>
        <w:rPr>
          <w:color w:val="17365D"/>
        </w:rPr>
      </w:pPr>
    </w:p>
    <w:p w:rsidR="004A4DC0" w:rsidRDefault="004A4DC0">
      <w:pPr>
        <w:pStyle w:val="Textoindependiente"/>
        <w:spacing w:line="268" w:lineRule="auto"/>
        <w:ind w:left="155" w:right="14284"/>
      </w:pPr>
      <w:bookmarkStart w:id="0" w:name="_GoBack"/>
      <w:bookmarkEnd w:id="0"/>
    </w:p>
    <w:sectPr w:rsidR="004A4DC0" w:rsidSect="005C2220">
      <w:headerReference w:type="default" r:id="rId7"/>
      <w:footerReference w:type="default" r:id="rId8"/>
      <w:type w:val="continuous"/>
      <w:pgSz w:w="18720" w:h="12240" w:orient="landscape" w:code="41"/>
      <w:pgMar w:top="490" w:right="567" w:bottom="278" w:left="1418" w:header="421"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68FA" w:rsidRDefault="002868FA" w:rsidP="005C2220">
      <w:r>
        <w:separator/>
      </w:r>
    </w:p>
  </w:endnote>
  <w:endnote w:type="continuationSeparator" w:id="0">
    <w:p w:rsidR="002868FA" w:rsidRDefault="002868FA" w:rsidP="005C22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Textoindependiente"/>
      <w:ind w:left="155"/>
      <w:rPr>
        <w:color w:val="17365D"/>
      </w:rPr>
    </w:pPr>
    <w:r>
      <w:rPr>
        <w:noProof/>
        <w:color w:val="17365D"/>
        <w:lang w:bidi="ar-SA"/>
      </w:rPr>
      <w:drawing>
        <wp:anchor distT="0" distB="0" distL="114300" distR="114300" simplePos="0" relativeHeight="251659264" behindDoc="0" locked="0" layoutInCell="1" allowOverlap="1" wp14:anchorId="5C718702" wp14:editId="0A5530E5">
          <wp:simplePos x="0" y="0"/>
          <wp:positionH relativeFrom="margin">
            <wp:posOffset>7019925</wp:posOffset>
          </wp:positionH>
          <wp:positionV relativeFrom="paragraph">
            <wp:posOffset>41910</wp:posOffset>
          </wp:positionV>
          <wp:extent cx="2147570" cy="694690"/>
          <wp:effectExtent l="0" t="0" r="5080" b="0"/>
          <wp:wrapNone/>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Logo Bogotá 2020 peq.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147570" cy="694690"/>
                  </a:xfrm>
                  <a:prstGeom prst="rect">
                    <a:avLst/>
                  </a:prstGeom>
                </pic:spPr>
              </pic:pic>
            </a:graphicData>
          </a:graphic>
          <wp14:sizeRelH relativeFrom="margin">
            <wp14:pctWidth>0</wp14:pctWidth>
          </wp14:sizeRelH>
          <wp14:sizeRelV relativeFrom="margin">
            <wp14:pctHeight>0</wp14:pctHeight>
          </wp14:sizeRelV>
        </wp:anchor>
      </w:drawing>
    </w:r>
  </w:p>
  <w:p w:rsidR="005C2220" w:rsidRDefault="005C2220" w:rsidP="005C2220">
    <w:pPr>
      <w:pStyle w:val="Textoindependiente"/>
      <w:ind w:left="155"/>
    </w:pPr>
    <w:r>
      <w:rPr>
        <w:color w:val="17365D"/>
      </w:rPr>
      <w:t>INSTITUTO PARA LA INVESTIGACIÓN EDUCATIVA Y EL DESARROLLO PEDAGÓGICO, IDEP</w:t>
    </w:r>
  </w:p>
  <w:p w:rsidR="005C2220" w:rsidRDefault="005C2220" w:rsidP="005C2220">
    <w:pPr>
      <w:pStyle w:val="Textoindependiente"/>
      <w:spacing w:before="19"/>
      <w:ind w:left="155"/>
    </w:pPr>
    <w:r>
      <w:rPr>
        <w:color w:val="17365D"/>
      </w:rPr>
      <w:t>Avenida Calle 26 No. 69D - 91. Oficinas 402ª, 402B, 805, 806. Torre 2 - Código Postal: 110931</w:t>
    </w:r>
    <w:r w:rsidRPr="005C2220">
      <w:rPr>
        <w:noProof/>
        <w:color w:val="17365D"/>
        <w:lang w:bidi="ar-SA"/>
      </w:rPr>
      <w:t xml:space="preserve"> </w:t>
    </w:r>
  </w:p>
  <w:p w:rsidR="005C2220" w:rsidRDefault="005C2220" w:rsidP="005C2220">
    <w:pPr>
      <w:pStyle w:val="Textoindependiente"/>
      <w:spacing w:before="19" w:line="268" w:lineRule="auto"/>
      <w:ind w:left="155" w:right="12726"/>
    </w:pPr>
    <w:r>
      <w:rPr>
        <w:color w:val="17365D"/>
      </w:rPr>
      <w:t>PBX (57-1) 263 0603 - Línea de atención al ciudadano 195 Bogotá DC - Colombia</w:t>
    </w:r>
  </w:p>
  <w:p w:rsidR="005C2220" w:rsidRDefault="002868FA" w:rsidP="005C2220">
    <w:pPr>
      <w:pStyle w:val="Textoindependiente"/>
      <w:spacing w:line="268" w:lineRule="auto"/>
      <w:ind w:left="155" w:right="14284"/>
      <w:rPr>
        <w:color w:val="17365D"/>
      </w:rPr>
    </w:pPr>
    <w:hyperlink r:id="rId2">
      <w:r w:rsidR="005C2220">
        <w:rPr>
          <w:color w:val="17365D"/>
          <w:w w:val="95"/>
        </w:rPr>
        <w:t>idep@idep.edu.co</w:t>
      </w:r>
    </w:hyperlink>
    <w:r w:rsidR="005C2220">
      <w:rPr>
        <w:color w:val="17365D"/>
        <w:w w:val="95"/>
      </w:rPr>
      <w:t xml:space="preserve"> </w:t>
    </w:r>
    <w:hyperlink r:id="rId3">
      <w:r w:rsidR="005C2220">
        <w:rPr>
          <w:color w:val="17365D"/>
        </w:rPr>
        <w:t>www.idep.edu.co</w:t>
      </w:r>
    </w:hyperlink>
  </w:p>
  <w:p w:rsidR="005C2220" w:rsidRDefault="005C2220">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68FA" w:rsidRDefault="002868FA" w:rsidP="005C2220">
      <w:r>
        <w:separator/>
      </w:r>
    </w:p>
  </w:footnote>
  <w:footnote w:type="continuationSeparator" w:id="0">
    <w:p w:rsidR="002868FA" w:rsidRDefault="002868FA" w:rsidP="005C22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C2220" w:rsidRDefault="005C2220" w:rsidP="005C2220">
    <w:pPr>
      <w:pStyle w:val="Encabezado"/>
      <w:jc w:val="center"/>
    </w:pPr>
    <w:r>
      <w:rPr>
        <w:rFonts w:ascii="Times New Roman"/>
        <w:noProof/>
        <w:sz w:val="20"/>
        <w:lang w:bidi="ar-SA"/>
      </w:rPr>
      <w:drawing>
        <wp:inline distT="0" distB="0" distL="0" distR="0" wp14:anchorId="22BA8749" wp14:editId="68E4BC1B">
          <wp:extent cx="800130" cy="831723"/>
          <wp:effectExtent l="0" t="0" r="0" b="0"/>
          <wp:docPr id="7"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 cstate="print"/>
                  <a:stretch>
                    <a:fillRect/>
                  </a:stretch>
                </pic:blipFill>
                <pic:spPr>
                  <a:xfrm>
                    <a:off x="0" y="0"/>
                    <a:ext cx="800130" cy="831723"/>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3AA7"/>
    <w:rsid w:val="00031435"/>
    <w:rsid w:val="000409CD"/>
    <w:rsid w:val="000946AE"/>
    <w:rsid w:val="000B2A22"/>
    <w:rsid w:val="000F5281"/>
    <w:rsid w:val="00160C66"/>
    <w:rsid w:val="00172C68"/>
    <w:rsid w:val="0017430B"/>
    <w:rsid w:val="002032C4"/>
    <w:rsid w:val="002111DA"/>
    <w:rsid w:val="002128A5"/>
    <w:rsid w:val="00232C3E"/>
    <w:rsid w:val="00251017"/>
    <w:rsid w:val="002701A7"/>
    <w:rsid w:val="002868FA"/>
    <w:rsid w:val="00391748"/>
    <w:rsid w:val="003E6D8C"/>
    <w:rsid w:val="00417192"/>
    <w:rsid w:val="0044141F"/>
    <w:rsid w:val="00454049"/>
    <w:rsid w:val="004A4DC0"/>
    <w:rsid w:val="004C347B"/>
    <w:rsid w:val="00505A22"/>
    <w:rsid w:val="005C2220"/>
    <w:rsid w:val="005C3720"/>
    <w:rsid w:val="005C4892"/>
    <w:rsid w:val="006C00C2"/>
    <w:rsid w:val="006D4276"/>
    <w:rsid w:val="00721754"/>
    <w:rsid w:val="007E2CCE"/>
    <w:rsid w:val="007F78FE"/>
    <w:rsid w:val="007F7AC9"/>
    <w:rsid w:val="00802F27"/>
    <w:rsid w:val="00805613"/>
    <w:rsid w:val="008378A9"/>
    <w:rsid w:val="00856C49"/>
    <w:rsid w:val="008948E1"/>
    <w:rsid w:val="008A4300"/>
    <w:rsid w:val="008F098E"/>
    <w:rsid w:val="00990DD1"/>
    <w:rsid w:val="009E0EEF"/>
    <w:rsid w:val="009E1916"/>
    <w:rsid w:val="009E72BF"/>
    <w:rsid w:val="00A903F5"/>
    <w:rsid w:val="00A979B1"/>
    <w:rsid w:val="00AC46AD"/>
    <w:rsid w:val="00AC4F4D"/>
    <w:rsid w:val="00AC54F0"/>
    <w:rsid w:val="00AF33A7"/>
    <w:rsid w:val="00B23072"/>
    <w:rsid w:val="00B77821"/>
    <w:rsid w:val="00B91AC2"/>
    <w:rsid w:val="00B94C3B"/>
    <w:rsid w:val="00BB74B3"/>
    <w:rsid w:val="00BD74EE"/>
    <w:rsid w:val="00BE0575"/>
    <w:rsid w:val="00BE15BF"/>
    <w:rsid w:val="00BF108D"/>
    <w:rsid w:val="00C06657"/>
    <w:rsid w:val="00C13EE1"/>
    <w:rsid w:val="00CA330D"/>
    <w:rsid w:val="00CB293E"/>
    <w:rsid w:val="00CB4605"/>
    <w:rsid w:val="00CE3516"/>
    <w:rsid w:val="00D4098B"/>
    <w:rsid w:val="00D50415"/>
    <w:rsid w:val="00D72568"/>
    <w:rsid w:val="00DF2B29"/>
    <w:rsid w:val="00E15791"/>
    <w:rsid w:val="00E565C5"/>
    <w:rsid w:val="00E8697E"/>
    <w:rsid w:val="00F82F92"/>
    <w:rsid w:val="00FC3AA7"/>
    <w:rsid w:val="00FF12B2"/>
    <w:rsid w:val="00FF4217"/>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41534265-7DE7-4DCA-80BE-370D2F4F5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C3AA7"/>
    <w:rPr>
      <w:rFonts w:ascii="Arial" w:eastAsia="Arial" w:hAnsi="Arial" w:cs="Arial"/>
      <w:lang w:val="es-CO" w:eastAsia="es-CO" w:bidi="es-CO"/>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C3AA7"/>
    <w:tblPr>
      <w:tblInd w:w="0" w:type="dxa"/>
      <w:tblCellMar>
        <w:top w:w="0" w:type="dxa"/>
        <w:left w:w="0" w:type="dxa"/>
        <w:bottom w:w="0" w:type="dxa"/>
        <w:right w:w="0" w:type="dxa"/>
      </w:tblCellMar>
    </w:tblPr>
  </w:style>
  <w:style w:type="paragraph" w:styleId="Textoindependiente">
    <w:name w:val="Body Text"/>
    <w:basedOn w:val="Normal"/>
    <w:uiPriority w:val="1"/>
    <w:qFormat/>
    <w:rsid w:val="00FC3AA7"/>
    <w:rPr>
      <w:sz w:val="14"/>
      <w:szCs w:val="14"/>
    </w:rPr>
  </w:style>
  <w:style w:type="paragraph" w:styleId="Prrafodelista">
    <w:name w:val="List Paragraph"/>
    <w:basedOn w:val="Normal"/>
    <w:uiPriority w:val="1"/>
    <w:qFormat/>
    <w:rsid w:val="00FC3AA7"/>
  </w:style>
  <w:style w:type="paragraph" w:customStyle="1" w:styleId="TableParagraph">
    <w:name w:val="Table Paragraph"/>
    <w:basedOn w:val="Normal"/>
    <w:uiPriority w:val="1"/>
    <w:qFormat/>
    <w:rsid w:val="00FC3AA7"/>
    <w:pPr>
      <w:spacing w:before="103"/>
      <w:ind w:left="108"/>
    </w:pPr>
  </w:style>
  <w:style w:type="paragraph" w:styleId="Textodeglobo">
    <w:name w:val="Balloon Text"/>
    <w:basedOn w:val="Normal"/>
    <w:link w:val="TextodegloboCar"/>
    <w:uiPriority w:val="99"/>
    <w:semiHidden/>
    <w:unhideWhenUsed/>
    <w:rsid w:val="000B2A22"/>
    <w:rPr>
      <w:rFonts w:ascii="Tahoma" w:hAnsi="Tahoma" w:cs="Tahoma"/>
      <w:sz w:val="16"/>
      <w:szCs w:val="16"/>
    </w:rPr>
  </w:style>
  <w:style w:type="character" w:customStyle="1" w:styleId="TextodegloboCar">
    <w:name w:val="Texto de globo Car"/>
    <w:basedOn w:val="Fuentedeprrafopredeter"/>
    <w:link w:val="Textodeglobo"/>
    <w:uiPriority w:val="99"/>
    <w:semiHidden/>
    <w:rsid w:val="000B2A22"/>
    <w:rPr>
      <w:rFonts w:ascii="Tahoma" w:eastAsia="Arial" w:hAnsi="Tahoma" w:cs="Tahoma"/>
      <w:sz w:val="16"/>
      <w:szCs w:val="16"/>
      <w:lang w:val="es-CO" w:eastAsia="es-CO" w:bidi="es-CO"/>
    </w:rPr>
  </w:style>
  <w:style w:type="paragraph" w:styleId="Encabezado">
    <w:name w:val="header"/>
    <w:basedOn w:val="Normal"/>
    <w:link w:val="EncabezadoCar"/>
    <w:uiPriority w:val="99"/>
    <w:unhideWhenUsed/>
    <w:rsid w:val="005C2220"/>
    <w:pPr>
      <w:tabs>
        <w:tab w:val="center" w:pos="4419"/>
        <w:tab w:val="right" w:pos="8838"/>
      </w:tabs>
    </w:pPr>
  </w:style>
  <w:style w:type="character" w:customStyle="1" w:styleId="EncabezadoCar">
    <w:name w:val="Encabezado Car"/>
    <w:basedOn w:val="Fuentedeprrafopredeter"/>
    <w:link w:val="Encabezado"/>
    <w:uiPriority w:val="99"/>
    <w:rsid w:val="005C2220"/>
    <w:rPr>
      <w:rFonts w:ascii="Arial" w:eastAsia="Arial" w:hAnsi="Arial" w:cs="Arial"/>
      <w:lang w:val="es-CO" w:eastAsia="es-CO" w:bidi="es-CO"/>
    </w:rPr>
  </w:style>
  <w:style w:type="paragraph" w:styleId="Piedepgina">
    <w:name w:val="footer"/>
    <w:basedOn w:val="Normal"/>
    <w:link w:val="PiedepginaCar"/>
    <w:uiPriority w:val="99"/>
    <w:unhideWhenUsed/>
    <w:rsid w:val="005C2220"/>
    <w:pPr>
      <w:tabs>
        <w:tab w:val="center" w:pos="4419"/>
        <w:tab w:val="right" w:pos="8838"/>
      </w:tabs>
    </w:pPr>
  </w:style>
  <w:style w:type="character" w:customStyle="1" w:styleId="PiedepginaCar">
    <w:name w:val="Pie de página Car"/>
    <w:basedOn w:val="Fuentedeprrafopredeter"/>
    <w:link w:val="Piedepgina"/>
    <w:uiPriority w:val="99"/>
    <w:rsid w:val="005C2220"/>
    <w:rPr>
      <w:rFonts w:ascii="Arial" w:eastAsia="Arial" w:hAnsi="Arial" w:cs="Arial"/>
      <w:lang w:val="es-CO" w:eastAsia="es-CO" w:bidi="es-C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idep.edu.co/" TargetMode="External"/><Relationship Id="rId2" Type="http://schemas.openxmlformats.org/officeDocument/2006/relationships/hyperlink" Target="mailto:idep@idep.edu.co" TargetMode="External"/><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6628D3-1C86-4A47-ACF4-6CCB60C407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306</Words>
  <Characters>1684</Characters>
  <Application>Microsoft Office Word</Application>
  <DocSecurity>0</DocSecurity>
  <Lines>14</Lines>
  <Paragraphs>3</Paragraphs>
  <ScaleCrop>false</ScaleCrop>
  <HeadingPairs>
    <vt:vector size="2" baseType="variant">
      <vt:variant>
        <vt:lpstr>Título</vt:lpstr>
      </vt:variant>
      <vt:variant>
        <vt:i4>1</vt:i4>
      </vt:variant>
    </vt:vector>
  </HeadingPairs>
  <TitlesOfParts>
    <vt:vector size="1" baseType="lpstr">
      <vt:lpstr>IDEP / Formato tamaño carta</vt:lpstr>
    </vt:vector>
  </TitlesOfParts>
  <Company>Hewlett-Packard Company</Company>
  <LinksUpToDate>false</LinksUpToDate>
  <CharactersWithSpaces>1987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IDEP / Formato tamaño carta</dc:title>
  <dc:subject>IDEP / Formato tamaño carta</dc:subject>
  <dc:creator>sortega</dc:creator>
  <cp:keywords>IDEP/Formato tamaño carta</cp:keywords>
  <cp:lastModifiedBy>Erika Viviana Boyacá Olaya</cp:lastModifiedBy>
  <cp:revision>2</cp:revision>
  <cp:lastPrinted>2019-03-06T14:14:00Z</cp:lastPrinted>
  <dcterms:created xsi:type="dcterms:W3CDTF">2020-11-09T23:55:00Z</dcterms:created>
  <dcterms:modified xsi:type="dcterms:W3CDTF">2020-11-09T23:55:00Z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2018-04-23T00:00:00Z</vt:filetime>
  </property>
  <property fmtid="{D5CDD505-2E9C-101B-9397-08002B2CF9AE}" pid="3" name="Creator">
    <vt:lpwstr>Microsoft® Office Word 2007</vt:lpwstr>
  </property>
  <property fmtid="{D5CDD505-2E9C-101B-9397-08002B2CF9AE}" pid="4" name="LastSaved">
    <vt:filetime>2018-04-26T00:00:00Z</vt:filetime>
  </property>
</Properties>
</file>