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7" w:rsidRDefault="00A979B1">
      <w:pPr>
        <w:pStyle w:val="Textoindependiente"/>
        <w:ind w:left="7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00130" cy="8317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30" cy="8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spacing w:before="1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FC3AA7" w:rsidRPr="00AC46AD" w:rsidTr="00AC46AD">
        <w:trPr>
          <w:trHeight w:val="515"/>
        </w:trPr>
        <w:tc>
          <w:tcPr>
            <w:tcW w:w="15750" w:type="dxa"/>
            <w:gridSpan w:val="6"/>
          </w:tcPr>
          <w:p w:rsidR="00FC3AA7" w:rsidRPr="00AC46AD" w:rsidRDefault="00A979B1" w:rsidP="00FF4217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INFORM</w:t>
            </w:r>
            <w:r w:rsidR="00721754" w:rsidRPr="00AC46AD">
              <w:rPr>
                <w:b/>
                <w:sz w:val="16"/>
                <w:szCs w:val="16"/>
              </w:rPr>
              <w:t xml:space="preserve">E DE DEFENSA JUDICIAL VIGENTE </w:t>
            </w:r>
            <w:r w:rsidR="00FF4217">
              <w:rPr>
                <w:b/>
                <w:sz w:val="16"/>
                <w:szCs w:val="16"/>
              </w:rPr>
              <w:t>30</w:t>
            </w:r>
            <w:r w:rsidR="00FF4217">
              <w:rPr>
                <w:b/>
                <w:sz w:val="16"/>
                <w:szCs w:val="16"/>
                <w:lang w:val="es-419"/>
              </w:rPr>
              <w:t>/09</w:t>
            </w:r>
            <w:r w:rsidRPr="00AC46AD">
              <w:rPr>
                <w:b/>
                <w:sz w:val="16"/>
                <w:szCs w:val="16"/>
              </w:rPr>
              <w:t>/201</w:t>
            </w:r>
            <w:r w:rsidR="002128A5" w:rsidRPr="00AC46AD">
              <w:rPr>
                <w:b/>
                <w:sz w:val="16"/>
                <w:szCs w:val="16"/>
              </w:rPr>
              <w:t>9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FC3AA7" w:rsidRPr="00AC46AD" w:rsidTr="00AC46AD">
        <w:trPr>
          <w:trHeight w:val="782"/>
        </w:trPr>
        <w:tc>
          <w:tcPr>
            <w:tcW w:w="2765" w:type="dxa"/>
          </w:tcPr>
          <w:p w:rsidR="00FC3AA7" w:rsidRPr="00AC46AD" w:rsidRDefault="00A979B1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:rsidR="00FC3AA7" w:rsidRPr="00AC46AD" w:rsidRDefault="00A979B1" w:rsidP="00AC46AD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:rsidR="00FC3AA7" w:rsidRPr="00AC46AD" w:rsidRDefault="00A979B1" w:rsidP="00AC46AD">
            <w:pPr>
              <w:pStyle w:val="TableParagraph"/>
              <w:spacing w:line="432" w:lineRule="auto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:rsidR="00FC3AA7" w:rsidRPr="00AC46AD" w:rsidRDefault="00A979B1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:rsidR="00FC3AA7" w:rsidRPr="00AC46AD" w:rsidRDefault="00A979B1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:rsidR="00FC3AA7" w:rsidRPr="00AC46AD" w:rsidRDefault="00A979B1" w:rsidP="00AC46AD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FC3AA7" w:rsidRPr="00AC46AD" w:rsidTr="00AC46AD">
        <w:trPr>
          <w:trHeight w:val="1683"/>
        </w:trPr>
        <w:tc>
          <w:tcPr>
            <w:tcW w:w="2765" w:type="dxa"/>
          </w:tcPr>
          <w:p w:rsidR="00FC3AA7" w:rsidRPr="00AC46AD" w:rsidRDefault="00A979B1" w:rsidP="00454049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="00454049">
              <w:rPr>
                <w:b/>
                <w:w w:val="95"/>
                <w:sz w:val="16"/>
                <w:szCs w:val="16"/>
              </w:rPr>
              <w:t>Proceso ejecutivo</w:t>
            </w:r>
          </w:p>
        </w:tc>
        <w:tc>
          <w:tcPr>
            <w:tcW w:w="2932" w:type="dxa"/>
          </w:tcPr>
          <w:p w:rsidR="00FC3AA7" w:rsidRPr="00AC46AD" w:rsidRDefault="00A979B1">
            <w:pPr>
              <w:pStyle w:val="TableParagraph"/>
              <w:spacing w:before="106" w:line="432" w:lineRule="auto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:rsidR="00FC3AA7" w:rsidRPr="00AC46AD" w:rsidRDefault="00A979B1">
            <w:pPr>
              <w:pStyle w:val="TableParagraph"/>
              <w:spacing w:before="106" w:line="432" w:lineRule="auto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:rsidR="00FF12B2" w:rsidRPr="00AC46AD" w:rsidRDefault="004C347B" w:rsidP="00CB293E">
            <w:pPr>
              <w:pStyle w:val="TableParagraph"/>
              <w:spacing w:before="105" w:after="240" w:line="360" w:lineRule="auto"/>
              <w:ind w:left="170" w:right="415"/>
              <w:jc w:val="both"/>
              <w:rPr>
                <w:sz w:val="16"/>
                <w:szCs w:val="16"/>
              </w:rPr>
            </w:pPr>
            <w:r w:rsidRPr="004C347B">
              <w:rPr>
                <w:sz w:val="16"/>
                <w:szCs w:val="16"/>
              </w:rPr>
              <w:t>Durante los meses de julio y agosto fueron remitidos oficios a (27) entidades financieras, a través de los cuales se ordena por parte de la Instancia judicial el embargo de cuentas o productos financieros a nombre de María Magdalena Morales Sarmiento.</w:t>
            </w:r>
          </w:p>
        </w:tc>
        <w:tc>
          <w:tcPr>
            <w:tcW w:w="1349" w:type="dxa"/>
          </w:tcPr>
          <w:p w:rsidR="00FC3AA7" w:rsidRPr="00AC46AD" w:rsidRDefault="00A979B1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:rsidR="00FC3AA7" w:rsidRPr="00AC46AD" w:rsidRDefault="00A979B1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FC3AA7" w:rsidRPr="00AC46AD" w:rsidTr="00AC46AD">
        <w:trPr>
          <w:trHeight w:val="741"/>
        </w:trPr>
        <w:tc>
          <w:tcPr>
            <w:tcW w:w="2765" w:type="dxa"/>
          </w:tcPr>
          <w:p w:rsidR="00FC3AA7" w:rsidRPr="00AC46AD" w:rsidRDefault="00A979B1">
            <w:pPr>
              <w:pStyle w:val="TableParagraph"/>
              <w:spacing w:before="138" w:line="393" w:lineRule="auto"/>
              <w:ind w:left="355" w:right="512" w:hanging="248"/>
              <w:rPr>
                <w:b/>
                <w:sz w:val="16"/>
                <w:szCs w:val="16"/>
              </w:rPr>
            </w:pPr>
            <w:r w:rsidRPr="00AC46AD">
              <w:rPr>
                <w:b/>
                <w:w w:val="90"/>
                <w:sz w:val="16"/>
                <w:szCs w:val="16"/>
              </w:rPr>
              <w:t xml:space="preserve">2. Proceso administrativo </w:t>
            </w:r>
            <w:r w:rsidRPr="00AC46AD">
              <w:rPr>
                <w:b/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FC3AA7" w:rsidRPr="00AC46AD" w:rsidRDefault="00A979B1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:rsidR="00FC3AA7" w:rsidRPr="00AC46AD" w:rsidRDefault="00A979B1">
            <w:pPr>
              <w:pStyle w:val="TableParagraph"/>
              <w:spacing w:line="434" w:lineRule="auto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Pr="00AC46AD" w:rsidRDefault="00FC3AA7" w:rsidP="008948E1">
            <w:pPr>
              <w:pStyle w:val="TableParagraph"/>
              <w:spacing w:before="0"/>
              <w:ind w:left="0"/>
              <w:jc w:val="both"/>
              <w:rPr>
                <w:sz w:val="16"/>
                <w:szCs w:val="16"/>
              </w:rPr>
            </w:pPr>
          </w:p>
          <w:p w:rsidR="00FC3AA7" w:rsidRPr="00AC46AD" w:rsidRDefault="00FF12B2" w:rsidP="00CB293E">
            <w:pPr>
              <w:pStyle w:val="TableParagraph"/>
              <w:spacing w:before="105" w:after="240" w:line="360" w:lineRule="auto"/>
              <w:ind w:left="170" w:right="415"/>
              <w:jc w:val="both"/>
              <w:rPr>
                <w:sz w:val="16"/>
                <w:szCs w:val="16"/>
                <w:lang w:val="es-419"/>
              </w:rPr>
            </w:pPr>
            <w:r w:rsidRPr="00AC46AD">
              <w:rPr>
                <w:sz w:val="16"/>
                <w:szCs w:val="16"/>
              </w:rPr>
              <w:t xml:space="preserve">Demanda de nulidad simple </w:t>
            </w:r>
            <w:r w:rsidR="008948E1" w:rsidRPr="00AC46AD">
              <w:rPr>
                <w:sz w:val="16"/>
                <w:szCs w:val="16"/>
              </w:rPr>
              <w:t xml:space="preserve">Al Despacho para </w:t>
            </w:r>
            <w:r w:rsidR="004A4DC0" w:rsidRPr="00AC46AD">
              <w:rPr>
                <w:sz w:val="16"/>
                <w:szCs w:val="16"/>
              </w:rPr>
              <w:t>decisión de fondo</w:t>
            </w:r>
          </w:p>
        </w:tc>
        <w:tc>
          <w:tcPr>
            <w:tcW w:w="1349" w:type="dxa"/>
          </w:tcPr>
          <w:p w:rsidR="00FC3AA7" w:rsidRPr="00AC46AD" w:rsidRDefault="00A979B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:rsidR="00FC3AA7" w:rsidRPr="00AC46AD" w:rsidRDefault="00A979B1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FC3AA7" w:rsidRPr="00AC46AD" w:rsidTr="00AC46AD">
        <w:trPr>
          <w:trHeight w:val="862"/>
        </w:trPr>
        <w:tc>
          <w:tcPr>
            <w:tcW w:w="2765" w:type="dxa"/>
          </w:tcPr>
          <w:p w:rsidR="00FC3AA7" w:rsidRPr="00AC46AD" w:rsidRDefault="00A979B1">
            <w:pPr>
              <w:pStyle w:val="TableParagraph"/>
              <w:spacing w:before="138" w:line="393" w:lineRule="auto"/>
              <w:ind w:left="355" w:right="512" w:hanging="248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3. Demanda de reparación </w:t>
            </w:r>
            <w:r w:rsidRPr="00AC46AD">
              <w:rPr>
                <w:b/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:rsidR="00FC3AA7" w:rsidRPr="00AC46AD" w:rsidRDefault="00A979B1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</w:p>
        </w:tc>
        <w:tc>
          <w:tcPr>
            <w:tcW w:w="3144" w:type="dxa"/>
          </w:tcPr>
          <w:p w:rsidR="00FC3AA7" w:rsidRPr="00AC46AD" w:rsidRDefault="00A979B1">
            <w:pPr>
              <w:pStyle w:val="TableParagraph"/>
              <w:spacing w:line="434" w:lineRule="auto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Pr="00AC46AD" w:rsidRDefault="00A903F5" w:rsidP="00A903F5">
            <w:pPr>
              <w:pStyle w:val="TableParagraph"/>
              <w:spacing w:before="105" w:after="240" w:line="360" w:lineRule="auto"/>
              <w:ind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la fecha se encuentra en decisión de fondo por parte del Juzgado sesenta y uno (61) Administrativo del Circuito Judicial de Bogotá </w:t>
            </w:r>
          </w:p>
        </w:tc>
        <w:tc>
          <w:tcPr>
            <w:tcW w:w="1349" w:type="dxa"/>
          </w:tcPr>
          <w:p w:rsidR="00FC3AA7" w:rsidRPr="00AC46AD" w:rsidRDefault="00A979B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:rsidR="00FC3AA7" w:rsidRPr="00AC46AD" w:rsidRDefault="00A979B1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FC3AA7" w:rsidRPr="00AC46AD" w:rsidTr="004C347B">
        <w:trPr>
          <w:trHeight w:val="276"/>
        </w:trPr>
        <w:tc>
          <w:tcPr>
            <w:tcW w:w="2765" w:type="dxa"/>
          </w:tcPr>
          <w:p w:rsidR="00FC3AA7" w:rsidRPr="00AC46AD" w:rsidRDefault="00A979B1" w:rsidP="00454049">
            <w:pPr>
              <w:pStyle w:val="TableParagraph"/>
              <w:spacing w:before="138" w:line="393" w:lineRule="auto"/>
              <w:ind w:left="355" w:right="369" w:hanging="248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>4.</w:t>
            </w:r>
            <w:r w:rsidRPr="00AC46AD">
              <w:rPr>
                <w:b/>
                <w:spacing w:val="-7"/>
                <w:w w:val="95"/>
                <w:sz w:val="16"/>
                <w:szCs w:val="16"/>
              </w:rPr>
              <w:t xml:space="preserve"> </w:t>
            </w:r>
            <w:r w:rsidR="00454049">
              <w:rPr>
                <w:b/>
                <w:w w:val="95"/>
                <w:sz w:val="16"/>
                <w:szCs w:val="16"/>
              </w:rPr>
              <w:t>Incidente de reparación Integral</w:t>
            </w:r>
          </w:p>
        </w:tc>
        <w:tc>
          <w:tcPr>
            <w:tcW w:w="2932" w:type="dxa"/>
          </w:tcPr>
          <w:p w:rsidR="00FC3AA7" w:rsidRPr="00AC46AD" w:rsidRDefault="00A979B1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:rsidR="00FC3AA7" w:rsidRPr="00AC46AD" w:rsidRDefault="00A979B1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Juan Francisco Salcedo Reyes</w:t>
            </w:r>
          </w:p>
        </w:tc>
        <w:tc>
          <w:tcPr>
            <w:tcW w:w="3329" w:type="dxa"/>
          </w:tcPr>
          <w:p w:rsidR="00A903F5" w:rsidRPr="00AC46AD" w:rsidRDefault="004C347B" w:rsidP="00454049">
            <w:pPr>
              <w:pStyle w:val="TableParagraph"/>
              <w:spacing w:line="436" w:lineRule="auto"/>
              <w:ind w:left="170" w:right="98" w:hanging="44"/>
              <w:jc w:val="both"/>
              <w:rPr>
                <w:sz w:val="16"/>
                <w:szCs w:val="16"/>
              </w:rPr>
            </w:pPr>
            <w:r w:rsidRPr="004C347B">
              <w:rPr>
                <w:sz w:val="16"/>
                <w:szCs w:val="16"/>
              </w:rPr>
              <w:t xml:space="preserve">El 30 de septiembre de 2019 se llevó acabo la segunda audiencia del Incidente de Reparación Integral, dando por terminado el proceso luego de aceptar la conciliación </w:t>
            </w:r>
            <w:r>
              <w:rPr>
                <w:sz w:val="16"/>
                <w:szCs w:val="16"/>
              </w:rPr>
              <w:t xml:space="preserve">por parte del Comité de Conciliación </w:t>
            </w:r>
            <w:r w:rsidRPr="004C347B">
              <w:rPr>
                <w:sz w:val="16"/>
                <w:szCs w:val="16"/>
              </w:rPr>
              <w:t xml:space="preserve">por concepto de lucro cesante de la propuesta realizada por el demandado, mediante acta </w:t>
            </w:r>
            <w:r w:rsidRPr="004C347B">
              <w:rPr>
                <w:sz w:val="16"/>
                <w:szCs w:val="16"/>
              </w:rPr>
              <w:lastRenderedPageBreak/>
              <w:t>No. 18 del 13 de septiembre de 2019</w:t>
            </w:r>
          </w:p>
        </w:tc>
        <w:tc>
          <w:tcPr>
            <w:tcW w:w="1349" w:type="dxa"/>
          </w:tcPr>
          <w:p w:rsidR="00FC3AA7" w:rsidRPr="00AC46AD" w:rsidRDefault="009E0EEF" w:rsidP="000F528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lastRenderedPageBreak/>
              <w:t>$</w:t>
            </w:r>
            <w:r w:rsidR="000F5281">
              <w:rPr>
                <w:sz w:val="16"/>
                <w:szCs w:val="16"/>
              </w:rPr>
              <w:t>8.921.360</w:t>
            </w:r>
          </w:p>
        </w:tc>
        <w:tc>
          <w:tcPr>
            <w:tcW w:w="2231" w:type="dxa"/>
          </w:tcPr>
          <w:p w:rsidR="00FC3AA7" w:rsidRPr="00AC46AD" w:rsidRDefault="000409CD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0B2A22" w:rsidRPr="00AC46AD" w:rsidTr="00AC46AD">
        <w:trPr>
          <w:trHeight w:val="2060"/>
        </w:trPr>
        <w:tc>
          <w:tcPr>
            <w:tcW w:w="2765" w:type="dxa"/>
          </w:tcPr>
          <w:p w:rsidR="000B2A22" w:rsidRPr="00AC46AD" w:rsidRDefault="009E0EEF" w:rsidP="009E0EEF">
            <w:pPr>
              <w:pStyle w:val="TableParagraph"/>
              <w:spacing w:before="138" w:line="393" w:lineRule="auto"/>
              <w:ind w:left="355" w:right="369" w:hanging="248"/>
              <w:rPr>
                <w:b/>
                <w:w w:val="95"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5.  Proceso laboral </w:t>
            </w:r>
          </w:p>
        </w:tc>
        <w:tc>
          <w:tcPr>
            <w:tcW w:w="2932" w:type="dxa"/>
          </w:tcPr>
          <w:p w:rsidR="000B2A22" w:rsidRPr="00AC46AD" w:rsidRDefault="005C4892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:rsidR="000B2A22" w:rsidRPr="00AC46AD" w:rsidRDefault="005C4892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proofErr w:type="spellStart"/>
            <w:r w:rsidRPr="00AC46AD">
              <w:rPr>
                <w:sz w:val="16"/>
                <w:szCs w:val="16"/>
              </w:rPr>
              <w:t>Liberty</w:t>
            </w:r>
            <w:proofErr w:type="spellEnd"/>
            <w:r w:rsidRPr="00AC46AD">
              <w:rPr>
                <w:sz w:val="16"/>
                <w:szCs w:val="16"/>
              </w:rPr>
              <w:t xml:space="preserve"> Seguros S.A. </w:t>
            </w:r>
          </w:p>
        </w:tc>
        <w:tc>
          <w:tcPr>
            <w:tcW w:w="3329" w:type="dxa"/>
          </w:tcPr>
          <w:p w:rsidR="009E0EEF" w:rsidRPr="00AC46AD" w:rsidRDefault="004C347B" w:rsidP="008948E1">
            <w:pPr>
              <w:pStyle w:val="TableParagraph"/>
              <w:spacing w:line="436" w:lineRule="auto"/>
              <w:ind w:left="38" w:right="98" w:firstLine="88"/>
              <w:jc w:val="both"/>
              <w:rPr>
                <w:sz w:val="16"/>
                <w:szCs w:val="16"/>
              </w:rPr>
            </w:pPr>
            <w:r w:rsidRPr="004C347B">
              <w:rPr>
                <w:sz w:val="16"/>
                <w:szCs w:val="16"/>
              </w:rPr>
              <w:t xml:space="preserve">El 6 de septiembre de 2019 se radicó en el Juzgado Primero </w:t>
            </w:r>
            <w:proofErr w:type="spellStart"/>
            <w:r w:rsidRPr="004C347B">
              <w:rPr>
                <w:sz w:val="16"/>
                <w:szCs w:val="16"/>
              </w:rPr>
              <w:t>Labral</w:t>
            </w:r>
            <w:proofErr w:type="spellEnd"/>
            <w:r w:rsidRPr="004C347B">
              <w:rPr>
                <w:sz w:val="16"/>
                <w:szCs w:val="16"/>
              </w:rPr>
              <w:t xml:space="preserve"> del Circuito de Bogotá </w:t>
            </w:r>
            <w:proofErr w:type="spellStart"/>
            <w:r w:rsidRPr="004C347B">
              <w:rPr>
                <w:sz w:val="16"/>
                <w:szCs w:val="16"/>
              </w:rPr>
              <w:t>memoral</w:t>
            </w:r>
            <w:proofErr w:type="spellEnd"/>
            <w:r w:rsidRPr="004C347B">
              <w:rPr>
                <w:sz w:val="16"/>
                <w:szCs w:val="16"/>
              </w:rPr>
              <w:t xml:space="preserve"> retirando la demanda y sus anexos, teniendo en cuenta que en </w:t>
            </w:r>
            <w:proofErr w:type="spellStart"/>
            <w:r w:rsidRPr="004C347B">
              <w:rPr>
                <w:sz w:val="16"/>
                <w:szCs w:val="16"/>
              </w:rPr>
              <w:t>seción</w:t>
            </w:r>
            <w:proofErr w:type="spellEnd"/>
            <w:r w:rsidRPr="004C347B">
              <w:rPr>
                <w:sz w:val="16"/>
                <w:szCs w:val="16"/>
              </w:rPr>
              <w:t xml:space="preserve"> del 28 de agosto de 2019 el Comité de Conciliación tomó la decisión de retirar la demanda.</w:t>
            </w:r>
          </w:p>
        </w:tc>
        <w:tc>
          <w:tcPr>
            <w:tcW w:w="1349" w:type="dxa"/>
          </w:tcPr>
          <w:p w:rsidR="000B2A22" w:rsidRPr="00AC46AD" w:rsidRDefault="009E0EEF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Por definir</w:t>
            </w:r>
          </w:p>
        </w:tc>
        <w:tc>
          <w:tcPr>
            <w:tcW w:w="2231" w:type="dxa"/>
          </w:tcPr>
          <w:p w:rsidR="000B2A22" w:rsidRPr="00AC46AD" w:rsidRDefault="005C4892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Medio</w:t>
            </w:r>
          </w:p>
        </w:tc>
      </w:tr>
      <w:tr w:rsidR="009E0EEF" w:rsidRPr="00AC46AD" w:rsidTr="00AC46AD">
        <w:trPr>
          <w:trHeight w:val="1828"/>
        </w:trPr>
        <w:tc>
          <w:tcPr>
            <w:tcW w:w="2765" w:type="dxa"/>
          </w:tcPr>
          <w:p w:rsidR="009E0EEF" w:rsidRPr="00AC46AD" w:rsidRDefault="009E0EEF" w:rsidP="005C4892">
            <w:pPr>
              <w:pStyle w:val="TableParagraph"/>
              <w:spacing w:before="138" w:line="393" w:lineRule="auto"/>
              <w:ind w:left="355" w:right="369" w:hanging="248"/>
              <w:rPr>
                <w:b/>
                <w:w w:val="95"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6. Tutela </w:t>
            </w:r>
          </w:p>
        </w:tc>
        <w:tc>
          <w:tcPr>
            <w:tcW w:w="2932" w:type="dxa"/>
          </w:tcPr>
          <w:p w:rsidR="009E0EEF" w:rsidRPr="00A903F5" w:rsidRDefault="009E0EEF" w:rsidP="009E0EEF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A903F5">
              <w:rPr>
                <w:sz w:val="16"/>
                <w:szCs w:val="16"/>
              </w:rPr>
              <w:t xml:space="preserve">Diana Marcela Zarabanda Suarez </w:t>
            </w:r>
          </w:p>
        </w:tc>
        <w:tc>
          <w:tcPr>
            <w:tcW w:w="3144" w:type="dxa"/>
          </w:tcPr>
          <w:p w:rsidR="009E0EEF" w:rsidRPr="00A903F5" w:rsidRDefault="009E0EEF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A903F5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8948E1" w:rsidRPr="00172C68" w:rsidRDefault="00D4098B" w:rsidP="00AC46AD">
            <w:pPr>
              <w:pStyle w:val="TableParagraph"/>
              <w:spacing w:line="436" w:lineRule="auto"/>
              <w:ind w:left="170" w:right="98" w:hanging="44"/>
              <w:jc w:val="bot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 xml:space="preserve">Fallo </w:t>
            </w:r>
            <w:r w:rsidR="000F5281">
              <w:rPr>
                <w:sz w:val="16"/>
                <w:szCs w:val="16"/>
              </w:rPr>
              <w:t>a favor de los tutelados</w:t>
            </w:r>
          </w:p>
        </w:tc>
        <w:tc>
          <w:tcPr>
            <w:tcW w:w="1349" w:type="dxa"/>
          </w:tcPr>
          <w:p w:rsidR="009E0EEF" w:rsidRPr="00172C68" w:rsidRDefault="000409CD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9E0EEF" w:rsidRPr="00172C68" w:rsidRDefault="000409CD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B23072" w:rsidRPr="00AC46AD" w:rsidTr="00AC46AD">
        <w:trPr>
          <w:trHeight w:val="1828"/>
        </w:trPr>
        <w:tc>
          <w:tcPr>
            <w:tcW w:w="2765" w:type="dxa"/>
          </w:tcPr>
          <w:p w:rsidR="00B23072" w:rsidRPr="00AC46AD" w:rsidRDefault="00B23072" w:rsidP="00B23072">
            <w:pPr>
              <w:pStyle w:val="TableParagraph"/>
              <w:spacing w:before="138" w:line="393" w:lineRule="auto"/>
              <w:ind w:left="355" w:right="369" w:hanging="248"/>
              <w:rPr>
                <w:b/>
                <w:w w:val="95"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6. Tutela </w:t>
            </w:r>
          </w:p>
        </w:tc>
        <w:tc>
          <w:tcPr>
            <w:tcW w:w="2932" w:type="dxa"/>
          </w:tcPr>
          <w:p w:rsidR="00B23072" w:rsidRPr="00A903F5" w:rsidRDefault="00B23072" w:rsidP="00B23072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A903F5">
              <w:rPr>
                <w:sz w:val="16"/>
                <w:szCs w:val="16"/>
              </w:rPr>
              <w:t>Martha Liliana Montoya Hurtado</w:t>
            </w:r>
          </w:p>
        </w:tc>
        <w:tc>
          <w:tcPr>
            <w:tcW w:w="3144" w:type="dxa"/>
          </w:tcPr>
          <w:p w:rsidR="00B23072" w:rsidRPr="00A903F5" w:rsidRDefault="00B23072" w:rsidP="00B23072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A903F5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B23072" w:rsidRPr="00172C68" w:rsidRDefault="00B23072" w:rsidP="00B23072">
            <w:pPr>
              <w:pStyle w:val="TableParagraph"/>
              <w:spacing w:line="436" w:lineRule="auto"/>
              <w:ind w:left="170" w:right="98" w:hanging="44"/>
              <w:jc w:val="bot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 xml:space="preserve">Fallo </w:t>
            </w:r>
            <w:r>
              <w:rPr>
                <w:sz w:val="16"/>
                <w:szCs w:val="16"/>
              </w:rPr>
              <w:t>a favor de los tutelados</w:t>
            </w:r>
          </w:p>
        </w:tc>
        <w:tc>
          <w:tcPr>
            <w:tcW w:w="1349" w:type="dxa"/>
          </w:tcPr>
          <w:p w:rsidR="00B23072" w:rsidRPr="00172C68" w:rsidRDefault="00B23072" w:rsidP="00B23072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B23072" w:rsidRPr="00172C68" w:rsidRDefault="00B23072" w:rsidP="00B23072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B23072" w:rsidRPr="00AC46AD" w:rsidTr="00AC46AD">
        <w:trPr>
          <w:trHeight w:val="276"/>
        </w:trPr>
        <w:tc>
          <w:tcPr>
            <w:tcW w:w="2765" w:type="dxa"/>
          </w:tcPr>
          <w:p w:rsidR="00B23072" w:rsidRPr="00AC46AD" w:rsidRDefault="00B23072" w:rsidP="00B23072">
            <w:pPr>
              <w:pStyle w:val="TableParagraph"/>
              <w:spacing w:before="138" w:line="393" w:lineRule="auto"/>
              <w:ind w:left="355" w:right="369" w:hanging="248"/>
              <w:rPr>
                <w:b/>
                <w:w w:val="95"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6. Tutela </w:t>
            </w:r>
          </w:p>
        </w:tc>
        <w:tc>
          <w:tcPr>
            <w:tcW w:w="2932" w:type="dxa"/>
          </w:tcPr>
          <w:p w:rsidR="00B23072" w:rsidRPr="00A903F5" w:rsidRDefault="00B23072" w:rsidP="00B23072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A903F5">
              <w:rPr>
                <w:sz w:val="16"/>
                <w:szCs w:val="16"/>
              </w:rPr>
              <w:t>Gina Paola Gutiérrez Pérez</w:t>
            </w:r>
          </w:p>
        </w:tc>
        <w:tc>
          <w:tcPr>
            <w:tcW w:w="3144" w:type="dxa"/>
          </w:tcPr>
          <w:p w:rsidR="00B23072" w:rsidRPr="00A903F5" w:rsidRDefault="00B23072" w:rsidP="00B23072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A903F5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B23072" w:rsidRPr="00172C68" w:rsidRDefault="00B23072" w:rsidP="00B23072">
            <w:pPr>
              <w:pStyle w:val="TableParagraph"/>
              <w:spacing w:line="436" w:lineRule="auto"/>
              <w:ind w:left="170" w:right="98" w:hanging="44"/>
              <w:jc w:val="bot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 xml:space="preserve">Fallo </w:t>
            </w:r>
            <w:r>
              <w:rPr>
                <w:sz w:val="16"/>
                <w:szCs w:val="16"/>
              </w:rPr>
              <w:t>a favor de los tutelados</w:t>
            </w:r>
          </w:p>
        </w:tc>
        <w:tc>
          <w:tcPr>
            <w:tcW w:w="1349" w:type="dxa"/>
          </w:tcPr>
          <w:p w:rsidR="00B23072" w:rsidRPr="00172C68" w:rsidRDefault="00B23072" w:rsidP="00B23072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B23072" w:rsidRPr="00172C68" w:rsidRDefault="00B23072" w:rsidP="00B23072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17430B" w:rsidRPr="00AC46AD" w:rsidTr="00AC46AD">
        <w:trPr>
          <w:trHeight w:val="1828"/>
        </w:trPr>
        <w:tc>
          <w:tcPr>
            <w:tcW w:w="2765" w:type="dxa"/>
          </w:tcPr>
          <w:p w:rsidR="0017430B" w:rsidRPr="00AC46AD" w:rsidRDefault="0017430B" w:rsidP="0017430B">
            <w:pPr>
              <w:pStyle w:val="TableParagraph"/>
              <w:spacing w:before="138" w:line="393" w:lineRule="auto"/>
              <w:ind w:left="355" w:right="369" w:hanging="248"/>
              <w:rPr>
                <w:b/>
                <w:w w:val="95"/>
                <w:sz w:val="16"/>
                <w:szCs w:val="16"/>
              </w:rPr>
            </w:pPr>
            <w:r w:rsidRPr="00AC46AD">
              <w:rPr>
                <w:b/>
                <w:w w:val="90"/>
                <w:sz w:val="16"/>
                <w:szCs w:val="16"/>
              </w:rPr>
              <w:t xml:space="preserve">7. Proceso administrativo </w:t>
            </w:r>
            <w:r w:rsidRPr="00AC46AD">
              <w:rPr>
                <w:b/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17430B" w:rsidRPr="00AC46AD" w:rsidRDefault="0017430B" w:rsidP="0017430B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:rsidR="0017430B" w:rsidRPr="00AC46AD" w:rsidRDefault="0017430B" w:rsidP="0017430B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17430B" w:rsidRDefault="0017430B" w:rsidP="0017430B">
            <w:pPr>
              <w:pStyle w:val="TableParagraph"/>
              <w:spacing w:line="436" w:lineRule="auto"/>
              <w:ind w:left="38"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el término procesal se otorgó respuesta a la solicitud de medida provisional- medida cautelar, siendo remitida mediante correo electrónico del 2 de abril de 2019 y radicada en la Secretaría del Despacho el día 03 de abril de 2019.</w:t>
            </w:r>
          </w:p>
          <w:p w:rsidR="0017430B" w:rsidRDefault="0017430B" w:rsidP="0017430B">
            <w:pPr>
              <w:pStyle w:val="TableParagraph"/>
              <w:spacing w:line="436" w:lineRule="auto"/>
              <w:ind w:left="38"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la misma manera el día 24 de abril de 2019 se radicó contestación de la demanda </w:t>
            </w:r>
            <w:r>
              <w:rPr>
                <w:sz w:val="16"/>
                <w:szCs w:val="16"/>
              </w:rPr>
              <w:lastRenderedPageBreak/>
              <w:t>siguiendo los lineamientos brindados por la CNCS.</w:t>
            </w:r>
          </w:p>
          <w:p w:rsidR="0017430B" w:rsidRPr="00AC46AD" w:rsidRDefault="0017430B" w:rsidP="0017430B">
            <w:pPr>
              <w:pStyle w:val="TableParagraph"/>
              <w:spacing w:line="436" w:lineRule="auto"/>
              <w:ind w:left="38" w:right="98" w:firstLine="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la fecha se encuentra al despacho para decisión. </w:t>
            </w:r>
          </w:p>
        </w:tc>
        <w:tc>
          <w:tcPr>
            <w:tcW w:w="1349" w:type="dxa"/>
          </w:tcPr>
          <w:p w:rsidR="0017430B" w:rsidRPr="00172C68" w:rsidRDefault="0017430B" w:rsidP="0017430B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lastRenderedPageBreak/>
              <w:t>N/A</w:t>
            </w:r>
          </w:p>
        </w:tc>
        <w:tc>
          <w:tcPr>
            <w:tcW w:w="2231" w:type="dxa"/>
          </w:tcPr>
          <w:p w:rsidR="0017430B" w:rsidRPr="00172C68" w:rsidRDefault="0017430B" w:rsidP="0017430B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4C347B" w:rsidRPr="00AC46AD" w:rsidTr="00AC46AD">
        <w:trPr>
          <w:trHeight w:val="1828"/>
        </w:trPr>
        <w:tc>
          <w:tcPr>
            <w:tcW w:w="2765" w:type="dxa"/>
          </w:tcPr>
          <w:p w:rsidR="004C347B" w:rsidRPr="00AC46AD" w:rsidRDefault="004C347B" w:rsidP="004C347B">
            <w:pPr>
              <w:pStyle w:val="TableParagraph"/>
              <w:spacing w:before="138" w:line="393" w:lineRule="auto"/>
              <w:ind w:left="355" w:right="369" w:hanging="248"/>
              <w:rPr>
                <w:b/>
                <w:w w:val="90"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>8</w:t>
            </w:r>
            <w:r w:rsidRPr="00AC46AD">
              <w:rPr>
                <w:b/>
                <w:w w:val="95"/>
                <w:sz w:val="16"/>
                <w:szCs w:val="16"/>
              </w:rPr>
              <w:t>. Tutela</w:t>
            </w:r>
          </w:p>
        </w:tc>
        <w:tc>
          <w:tcPr>
            <w:tcW w:w="2932" w:type="dxa"/>
          </w:tcPr>
          <w:p w:rsidR="004C347B" w:rsidRPr="00AC46AD" w:rsidRDefault="004C347B" w:rsidP="004C347B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4C347B">
              <w:rPr>
                <w:sz w:val="16"/>
                <w:szCs w:val="16"/>
              </w:rPr>
              <w:t xml:space="preserve">Juliana Andrea Tovar </w:t>
            </w:r>
            <w:proofErr w:type="spellStart"/>
            <w:r w:rsidRPr="004C347B">
              <w:rPr>
                <w:sz w:val="16"/>
                <w:szCs w:val="16"/>
              </w:rPr>
              <w:t>Cañon</w:t>
            </w:r>
            <w:proofErr w:type="spellEnd"/>
          </w:p>
        </w:tc>
        <w:tc>
          <w:tcPr>
            <w:tcW w:w="3144" w:type="dxa"/>
          </w:tcPr>
          <w:p w:rsidR="006D4276" w:rsidRPr="006D4276" w:rsidRDefault="006D4276" w:rsidP="006D4276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6D4276">
              <w:rPr>
                <w:sz w:val="16"/>
                <w:szCs w:val="16"/>
              </w:rPr>
              <w:t>SECRETARÍA DE EDUCACIÓN DISTRITAL</w:t>
            </w:r>
            <w:r>
              <w:rPr>
                <w:sz w:val="16"/>
                <w:szCs w:val="16"/>
              </w:rPr>
              <w:t xml:space="preserve"> </w:t>
            </w:r>
            <w:r w:rsidRPr="006D4276">
              <w:rPr>
                <w:sz w:val="16"/>
                <w:szCs w:val="16"/>
              </w:rPr>
              <w:t xml:space="preserve">                   DIRECTOR LOCAL DE EDUCACIÓN DE KENNEDY</w:t>
            </w:r>
          </w:p>
          <w:p w:rsidR="004C347B" w:rsidRPr="00AC46AD" w:rsidRDefault="006D4276" w:rsidP="006D4276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6D4276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4C347B" w:rsidRDefault="006D4276" w:rsidP="006D4276">
            <w:pPr>
              <w:pStyle w:val="TableParagraph"/>
              <w:spacing w:line="436" w:lineRule="auto"/>
              <w:ind w:left="38" w:right="98"/>
              <w:jc w:val="both"/>
              <w:rPr>
                <w:sz w:val="16"/>
                <w:szCs w:val="16"/>
              </w:rPr>
            </w:pPr>
            <w:r w:rsidRPr="006D4276">
              <w:rPr>
                <w:sz w:val="16"/>
                <w:szCs w:val="16"/>
              </w:rPr>
              <w:t xml:space="preserve">Tutela impugnada por parte de la </w:t>
            </w:r>
            <w:proofErr w:type="spellStart"/>
            <w:r w:rsidRPr="006D4276">
              <w:rPr>
                <w:sz w:val="16"/>
                <w:szCs w:val="16"/>
              </w:rPr>
              <w:t>Tutelante</w:t>
            </w:r>
            <w:proofErr w:type="spellEnd"/>
            <w:r w:rsidRPr="006D4276">
              <w:rPr>
                <w:sz w:val="16"/>
                <w:szCs w:val="16"/>
              </w:rPr>
              <w:t xml:space="preserve"> y a la fecha se encuentra al Despacho para remitirla al superior jerárquico.  Se está pendiente de conocer la instancia judicial que conocerá en se</w:t>
            </w:r>
            <w:bookmarkStart w:id="0" w:name="_GoBack"/>
            <w:bookmarkEnd w:id="0"/>
            <w:r w:rsidRPr="006D4276">
              <w:rPr>
                <w:sz w:val="16"/>
                <w:szCs w:val="16"/>
              </w:rPr>
              <w:t>gunda instancia.</w:t>
            </w:r>
          </w:p>
        </w:tc>
        <w:tc>
          <w:tcPr>
            <w:tcW w:w="1349" w:type="dxa"/>
          </w:tcPr>
          <w:p w:rsidR="004C347B" w:rsidRPr="00172C68" w:rsidRDefault="004C347B" w:rsidP="004C347B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4C347B" w:rsidRPr="00172C68" w:rsidRDefault="004C347B" w:rsidP="004C347B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4C347B" w:rsidRPr="00AC46AD" w:rsidTr="00AC46AD">
        <w:trPr>
          <w:trHeight w:val="1828"/>
        </w:trPr>
        <w:tc>
          <w:tcPr>
            <w:tcW w:w="2765" w:type="dxa"/>
          </w:tcPr>
          <w:p w:rsidR="004C347B" w:rsidRPr="00AC46AD" w:rsidRDefault="004C347B" w:rsidP="004C347B">
            <w:pPr>
              <w:pStyle w:val="TableParagraph"/>
              <w:spacing w:before="138" w:line="393" w:lineRule="auto"/>
              <w:ind w:left="355" w:right="369" w:hanging="248"/>
              <w:rPr>
                <w:b/>
                <w:w w:val="90"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>9</w:t>
            </w:r>
            <w:r w:rsidRPr="00AC46AD">
              <w:rPr>
                <w:b/>
                <w:w w:val="95"/>
                <w:sz w:val="16"/>
                <w:szCs w:val="16"/>
              </w:rPr>
              <w:t>. Tutela</w:t>
            </w:r>
          </w:p>
        </w:tc>
        <w:tc>
          <w:tcPr>
            <w:tcW w:w="2932" w:type="dxa"/>
          </w:tcPr>
          <w:p w:rsidR="004C347B" w:rsidRPr="00AC46AD" w:rsidRDefault="004C347B" w:rsidP="004C347B">
            <w:pPr>
              <w:pStyle w:val="TableParagraph"/>
              <w:spacing w:line="436" w:lineRule="auto"/>
              <w:ind w:left="105" w:right="87"/>
              <w:rPr>
                <w:sz w:val="16"/>
                <w:szCs w:val="16"/>
              </w:rPr>
            </w:pPr>
            <w:r w:rsidRPr="004C347B">
              <w:rPr>
                <w:sz w:val="16"/>
                <w:szCs w:val="16"/>
              </w:rPr>
              <w:t xml:space="preserve">Martha Esperanza </w:t>
            </w:r>
            <w:proofErr w:type="spellStart"/>
            <w:r w:rsidRPr="004C347B">
              <w:rPr>
                <w:sz w:val="16"/>
                <w:szCs w:val="16"/>
              </w:rPr>
              <w:t>Cañon</w:t>
            </w:r>
            <w:proofErr w:type="spellEnd"/>
            <w:r w:rsidRPr="004C347B">
              <w:rPr>
                <w:sz w:val="16"/>
                <w:szCs w:val="16"/>
              </w:rPr>
              <w:t xml:space="preserve"> Parra</w:t>
            </w:r>
          </w:p>
        </w:tc>
        <w:tc>
          <w:tcPr>
            <w:tcW w:w="3144" w:type="dxa"/>
          </w:tcPr>
          <w:p w:rsidR="004C347B" w:rsidRPr="00AC46AD" w:rsidRDefault="00805613" w:rsidP="004C347B">
            <w:pPr>
              <w:pStyle w:val="TableParagraph"/>
              <w:spacing w:line="436" w:lineRule="auto"/>
              <w:ind w:right="491"/>
              <w:rPr>
                <w:sz w:val="16"/>
                <w:szCs w:val="16"/>
              </w:rPr>
            </w:pPr>
            <w:r w:rsidRPr="00805613">
              <w:rPr>
                <w:sz w:val="16"/>
                <w:szCs w:val="16"/>
              </w:rPr>
              <w:t>INSTITUTO PARA LA INVESTIGACIÓN EDUCATIVA Y EL DESARROLLO PEDAGÓGICO – IDEP y OTROS</w:t>
            </w:r>
          </w:p>
        </w:tc>
        <w:tc>
          <w:tcPr>
            <w:tcW w:w="3329" w:type="dxa"/>
          </w:tcPr>
          <w:p w:rsidR="004C347B" w:rsidRDefault="006D4276" w:rsidP="006D4276">
            <w:pPr>
              <w:pStyle w:val="TableParagraph"/>
              <w:spacing w:line="436" w:lineRule="auto"/>
              <w:ind w:left="38" w:right="9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25 de septiembre en el término de traslado se da contestación a la acción de tutela.</w:t>
            </w:r>
          </w:p>
        </w:tc>
        <w:tc>
          <w:tcPr>
            <w:tcW w:w="1349" w:type="dxa"/>
          </w:tcPr>
          <w:p w:rsidR="004C347B" w:rsidRPr="00172C68" w:rsidRDefault="004C347B" w:rsidP="004C347B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4C347B" w:rsidRPr="00172C68" w:rsidRDefault="004C347B" w:rsidP="004C347B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</w:tbl>
    <w:p w:rsidR="00FC3AA7" w:rsidRPr="005C4892" w:rsidRDefault="00FC3AA7" w:rsidP="005C4892">
      <w:pPr>
        <w:pStyle w:val="Textoindependiente"/>
        <w:spacing w:before="5"/>
        <w:rPr>
          <w:rFonts w:ascii="Times New Roman"/>
          <w:sz w:val="15"/>
        </w:rPr>
      </w:pPr>
    </w:p>
    <w:p w:rsidR="00FC3AA7" w:rsidRDefault="00DF2B29">
      <w:pPr>
        <w:pStyle w:val="Textoindependiente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8053705</wp:posOffset>
                </wp:positionH>
                <wp:positionV relativeFrom="paragraph">
                  <wp:posOffset>180975</wp:posOffset>
                </wp:positionV>
                <wp:extent cx="3388360" cy="276225"/>
                <wp:effectExtent l="5080" t="13970" r="698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 xml:space="preserve">Dr. Edison Barrero </w:t>
                            </w:r>
                            <w:r>
                              <w:rPr>
                                <w:rFonts w:ascii="Trebuchet MS"/>
                              </w:rPr>
                              <w:t>Torres.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4.15pt;margin-top:14.25pt;width:266.8pt;height:2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" filled="f">
                <v:textbox inset="0,0,0,0">
                  <w:txbxContent>
                    <w:p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 xml:space="preserve">Dr. Edison Barrero </w:t>
                      </w:r>
                      <w:r>
                        <w:rPr>
                          <w:rFonts w:ascii="Trebuchet MS"/>
                        </w:rPr>
                        <w:t>Torres.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AA7" w:rsidRDefault="00FC3AA7">
      <w:pPr>
        <w:pStyle w:val="Textoindependiente"/>
        <w:spacing w:before="9"/>
        <w:rPr>
          <w:rFonts w:ascii="Times New Roman"/>
          <w:sz w:val="18"/>
        </w:rPr>
      </w:pPr>
    </w:p>
    <w:p w:rsidR="00FC3AA7" w:rsidRDefault="00A979B1">
      <w:pPr>
        <w:pStyle w:val="Textoindependiente"/>
        <w:ind w:left="155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5783579</wp:posOffset>
            </wp:positionH>
            <wp:positionV relativeFrom="paragraph">
              <wp:posOffset>-100585</wp:posOffset>
            </wp:positionV>
            <wp:extent cx="1083945" cy="8077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</w:rPr>
        <w:t>INSTITUTO PARA LA INVESTIGACIÓN EDUCATIVA Y EL DESARROLLO PEDAGÓGICO, IDEP</w:t>
      </w:r>
    </w:p>
    <w:p w:rsidR="00FC3AA7" w:rsidRDefault="00A979B1">
      <w:pPr>
        <w:pStyle w:val="Textoindependiente"/>
        <w:spacing w:before="19"/>
        <w:ind w:left="155"/>
      </w:pPr>
      <w:r>
        <w:rPr>
          <w:color w:val="17365D"/>
        </w:rPr>
        <w:t>Avenida Calle 26 No. 69D - 91. Oficinas 402ª, 402B, 805, 806. Torre 2 - Código Postal: 110931</w:t>
      </w:r>
    </w:p>
    <w:p w:rsidR="00FC3AA7" w:rsidRDefault="00A979B1">
      <w:pPr>
        <w:pStyle w:val="Textoindependiente"/>
        <w:spacing w:before="19" w:line="268" w:lineRule="auto"/>
        <w:ind w:left="155" w:right="12726"/>
      </w:pPr>
      <w:r>
        <w:rPr>
          <w:color w:val="17365D"/>
        </w:rPr>
        <w:t>PBX (57-1) 263 0603 - Línea de atención al ciudadano 195 Bogotá DC - Colombia</w:t>
      </w:r>
    </w:p>
    <w:p w:rsidR="00FC3AA7" w:rsidRDefault="006D4276">
      <w:pPr>
        <w:pStyle w:val="Textoindependiente"/>
        <w:spacing w:line="268" w:lineRule="auto"/>
        <w:ind w:left="155" w:right="14284"/>
        <w:rPr>
          <w:color w:val="17365D"/>
        </w:rPr>
      </w:pPr>
      <w:hyperlink r:id="rId7">
        <w:r w:rsidR="00A979B1">
          <w:rPr>
            <w:color w:val="17365D"/>
            <w:w w:val="95"/>
          </w:rPr>
          <w:t>idep@idep.edu.co</w:t>
        </w:r>
      </w:hyperlink>
      <w:r w:rsidR="00A979B1">
        <w:rPr>
          <w:color w:val="17365D"/>
          <w:w w:val="95"/>
        </w:rPr>
        <w:t xml:space="preserve"> </w:t>
      </w:r>
      <w:hyperlink r:id="rId8">
        <w:r w:rsidR="00A979B1">
          <w:rPr>
            <w:color w:val="17365D"/>
          </w:rPr>
          <w:t>www.idep.edu.co</w:t>
        </w:r>
      </w:hyperlink>
    </w:p>
    <w:p w:rsidR="004A4DC0" w:rsidRDefault="004A4DC0">
      <w:pPr>
        <w:pStyle w:val="Textoindependiente"/>
        <w:spacing w:line="268" w:lineRule="auto"/>
        <w:ind w:left="155" w:right="14284"/>
      </w:pPr>
    </w:p>
    <w:sectPr w:rsidR="004A4DC0" w:rsidSect="00B77821">
      <w:type w:val="continuous"/>
      <w:pgSz w:w="18720" w:h="12240" w:orient="landscape" w:code="41"/>
      <w:pgMar w:top="907" w:right="567" w:bottom="2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7"/>
    <w:rsid w:val="000409CD"/>
    <w:rsid w:val="000B2A22"/>
    <w:rsid w:val="000F5281"/>
    <w:rsid w:val="00172C68"/>
    <w:rsid w:val="0017430B"/>
    <w:rsid w:val="002032C4"/>
    <w:rsid w:val="002128A5"/>
    <w:rsid w:val="00232C3E"/>
    <w:rsid w:val="00251017"/>
    <w:rsid w:val="002701A7"/>
    <w:rsid w:val="00391748"/>
    <w:rsid w:val="003E6D8C"/>
    <w:rsid w:val="00454049"/>
    <w:rsid w:val="004A4DC0"/>
    <w:rsid w:val="004C347B"/>
    <w:rsid w:val="005C3720"/>
    <w:rsid w:val="005C4892"/>
    <w:rsid w:val="006C00C2"/>
    <w:rsid w:val="006D4276"/>
    <w:rsid w:val="00721754"/>
    <w:rsid w:val="00802F27"/>
    <w:rsid w:val="00805613"/>
    <w:rsid w:val="00856C49"/>
    <w:rsid w:val="008948E1"/>
    <w:rsid w:val="008A4300"/>
    <w:rsid w:val="008F098E"/>
    <w:rsid w:val="009E0EEF"/>
    <w:rsid w:val="00A903F5"/>
    <w:rsid w:val="00A979B1"/>
    <w:rsid w:val="00AC46AD"/>
    <w:rsid w:val="00AC54F0"/>
    <w:rsid w:val="00AF33A7"/>
    <w:rsid w:val="00B23072"/>
    <w:rsid w:val="00B77821"/>
    <w:rsid w:val="00BB74B3"/>
    <w:rsid w:val="00BE15BF"/>
    <w:rsid w:val="00C06657"/>
    <w:rsid w:val="00C13EE1"/>
    <w:rsid w:val="00CB293E"/>
    <w:rsid w:val="00D4098B"/>
    <w:rsid w:val="00D50415"/>
    <w:rsid w:val="00DF2B29"/>
    <w:rsid w:val="00F82F92"/>
    <w:rsid w:val="00FC3AA7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p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ep@idep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0996-E6F3-44D6-8E06-4D030226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Boyacá Olaya</cp:lastModifiedBy>
  <cp:revision>3</cp:revision>
  <cp:lastPrinted>2019-03-06T14:14:00Z</cp:lastPrinted>
  <dcterms:created xsi:type="dcterms:W3CDTF">2019-10-02T20:07:00Z</dcterms:created>
  <dcterms:modified xsi:type="dcterms:W3CDTF">2019-10-02T21:04:00Z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