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45BA4F" w14:textId="77777777" w:rsidR="00A505A1" w:rsidRPr="00AC62FB" w:rsidRDefault="00A505A1" w:rsidP="00A505A1">
      <w:pPr>
        <w:jc w:val="center"/>
        <w:rPr>
          <w:rFonts w:cs="Arial"/>
          <w:b/>
          <w:szCs w:val="24"/>
        </w:rPr>
      </w:pPr>
      <w:bookmarkStart w:id="0" w:name="_Hlk41056123"/>
      <w:bookmarkStart w:id="1" w:name="_GoBack"/>
      <w:bookmarkEnd w:id="1"/>
      <w:r w:rsidRPr="00AC62FB">
        <w:rPr>
          <w:rFonts w:cs="Arial"/>
          <w:b/>
          <w:szCs w:val="24"/>
        </w:rPr>
        <w:t>INSTITUTO PARA LA INVESTIGACIÓN EDUCATIVA Y EL DESARROLLO PEDAGOGICO – IDEP</w:t>
      </w:r>
    </w:p>
    <w:p w14:paraId="13094756" w14:textId="77777777" w:rsidR="00A505A1" w:rsidRPr="00AC62FB" w:rsidRDefault="00A505A1" w:rsidP="00A505A1">
      <w:pPr>
        <w:jc w:val="center"/>
        <w:rPr>
          <w:rFonts w:cs="Arial"/>
          <w:b/>
          <w:szCs w:val="24"/>
        </w:rPr>
      </w:pPr>
    </w:p>
    <w:p w14:paraId="66027187" w14:textId="77777777" w:rsidR="00A505A1" w:rsidRPr="00AC62FB" w:rsidRDefault="00A505A1" w:rsidP="00A505A1">
      <w:pPr>
        <w:jc w:val="center"/>
        <w:rPr>
          <w:rFonts w:cs="Arial"/>
          <w:b/>
          <w:szCs w:val="24"/>
        </w:rPr>
      </w:pPr>
    </w:p>
    <w:p w14:paraId="06CA263B" w14:textId="77777777" w:rsidR="00A505A1" w:rsidRPr="00AC62FB" w:rsidRDefault="00A505A1" w:rsidP="00A505A1">
      <w:pPr>
        <w:jc w:val="center"/>
        <w:rPr>
          <w:rFonts w:cs="Arial"/>
          <w:b/>
          <w:szCs w:val="24"/>
        </w:rPr>
      </w:pPr>
    </w:p>
    <w:p w14:paraId="14296547" w14:textId="77777777" w:rsidR="00A505A1" w:rsidRPr="00AC62FB" w:rsidRDefault="00A505A1" w:rsidP="00A505A1">
      <w:pPr>
        <w:jc w:val="center"/>
        <w:rPr>
          <w:rFonts w:cs="Arial"/>
          <w:b/>
          <w:szCs w:val="24"/>
        </w:rPr>
      </w:pPr>
    </w:p>
    <w:p w14:paraId="131EFEFB" w14:textId="77777777" w:rsidR="00A505A1" w:rsidRPr="00AC62FB" w:rsidRDefault="00A505A1" w:rsidP="00A505A1">
      <w:pPr>
        <w:jc w:val="center"/>
        <w:rPr>
          <w:rFonts w:cs="Arial"/>
          <w:b/>
          <w:szCs w:val="24"/>
        </w:rPr>
      </w:pPr>
    </w:p>
    <w:p w14:paraId="2728A0C7" w14:textId="77777777" w:rsidR="00A505A1" w:rsidRPr="00AC62FB" w:rsidRDefault="00A505A1" w:rsidP="00A505A1">
      <w:pPr>
        <w:jc w:val="center"/>
        <w:rPr>
          <w:rFonts w:cs="Arial"/>
          <w:b/>
          <w:szCs w:val="24"/>
        </w:rPr>
      </w:pPr>
    </w:p>
    <w:p w14:paraId="5CACB19B" w14:textId="77777777" w:rsidR="00A505A1" w:rsidRPr="00AC62FB" w:rsidRDefault="00A505A1" w:rsidP="00A505A1">
      <w:pPr>
        <w:jc w:val="center"/>
        <w:rPr>
          <w:rFonts w:cs="Arial"/>
          <w:b/>
          <w:szCs w:val="24"/>
        </w:rPr>
      </w:pPr>
    </w:p>
    <w:p w14:paraId="682673CD" w14:textId="77777777" w:rsidR="00A505A1" w:rsidRPr="00AC62FB" w:rsidRDefault="00A505A1" w:rsidP="00A505A1">
      <w:pPr>
        <w:jc w:val="center"/>
        <w:rPr>
          <w:rFonts w:cs="Arial"/>
          <w:b/>
          <w:szCs w:val="24"/>
        </w:rPr>
      </w:pPr>
    </w:p>
    <w:p w14:paraId="26358047" w14:textId="77777777" w:rsidR="00A505A1" w:rsidRPr="00AC62FB" w:rsidRDefault="00A505A1" w:rsidP="00A505A1">
      <w:pPr>
        <w:jc w:val="center"/>
        <w:rPr>
          <w:rFonts w:cs="Arial"/>
          <w:b/>
          <w:szCs w:val="24"/>
        </w:rPr>
      </w:pPr>
      <w:r w:rsidRPr="00AC62FB">
        <w:rPr>
          <w:rFonts w:cs="Arial"/>
          <w:b/>
          <w:szCs w:val="24"/>
        </w:rPr>
        <w:t xml:space="preserve">INFORME DE </w:t>
      </w:r>
      <w:r>
        <w:rPr>
          <w:rFonts w:cs="Arial"/>
          <w:b/>
          <w:szCs w:val="24"/>
        </w:rPr>
        <w:t>SEGUIMIENTO A LA GESTI</w:t>
      </w:r>
      <w:r w:rsidR="00FB4DA8">
        <w:rPr>
          <w:rFonts w:cs="Arial"/>
          <w:b/>
          <w:szCs w:val="24"/>
        </w:rPr>
        <w:t>Ó</w:t>
      </w:r>
      <w:r>
        <w:rPr>
          <w:rFonts w:cs="Arial"/>
          <w:b/>
          <w:szCs w:val="24"/>
        </w:rPr>
        <w:t>N DEL RIESGO EN LA ENTIDAD</w:t>
      </w:r>
    </w:p>
    <w:p w14:paraId="6D86E07C" w14:textId="77777777" w:rsidR="00A505A1" w:rsidRPr="00AC62FB" w:rsidRDefault="00A505A1" w:rsidP="00A505A1">
      <w:pPr>
        <w:jc w:val="center"/>
        <w:rPr>
          <w:rFonts w:cs="Arial"/>
          <w:b/>
          <w:szCs w:val="24"/>
        </w:rPr>
      </w:pPr>
    </w:p>
    <w:p w14:paraId="6A5ED3D4" w14:textId="77777777" w:rsidR="00A505A1" w:rsidRPr="00AC62FB" w:rsidRDefault="00A505A1" w:rsidP="00A505A1">
      <w:pPr>
        <w:jc w:val="center"/>
        <w:rPr>
          <w:rFonts w:cs="Arial"/>
          <w:b/>
          <w:szCs w:val="24"/>
        </w:rPr>
      </w:pPr>
    </w:p>
    <w:p w14:paraId="52F163AD" w14:textId="77777777" w:rsidR="00A505A1" w:rsidRPr="00AC62FB" w:rsidRDefault="00A505A1" w:rsidP="00A505A1">
      <w:pPr>
        <w:jc w:val="center"/>
        <w:rPr>
          <w:rFonts w:cs="Arial"/>
          <w:b/>
          <w:szCs w:val="24"/>
        </w:rPr>
      </w:pPr>
    </w:p>
    <w:p w14:paraId="1189C0C3" w14:textId="77777777" w:rsidR="00A505A1" w:rsidRPr="00AC62FB" w:rsidRDefault="00A505A1" w:rsidP="00A505A1">
      <w:pPr>
        <w:jc w:val="center"/>
        <w:rPr>
          <w:rFonts w:cs="Arial"/>
          <w:b/>
          <w:szCs w:val="24"/>
        </w:rPr>
      </w:pPr>
    </w:p>
    <w:p w14:paraId="6CB4B54E" w14:textId="77777777" w:rsidR="00A505A1" w:rsidRPr="00AC62FB" w:rsidRDefault="00A505A1" w:rsidP="00A505A1">
      <w:pPr>
        <w:jc w:val="center"/>
        <w:rPr>
          <w:rFonts w:cs="Arial"/>
          <w:b/>
          <w:szCs w:val="24"/>
        </w:rPr>
      </w:pPr>
    </w:p>
    <w:p w14:paraId="6B9C6194" w14:textId="77777777" w:rsidR="00A505A1" w:rsidRPr="00AC62FB" w:rsidRDefault="00A505A1" w:rsidP="00A505A1">
      <w:pPr>
        <w:jc w:val="center"/>
        <w:rPr>
          <w:rFonts w:cs="Arial"/>
          <w:b/>
          <w:szCs w:val="24"/>
        </w:rPr>
      </w:pPr>
    </w:p>
    <w:p w14:paraId="69584880" w14:textId="77777777" w:rsidR="00A505A1" w:rsidRPr="00AC62FB" w:rsidRDefault="00A505A1" w:rsidP="00A505A1">
      <w:pPr>
        <w:jc w:val="center"/>
        <w:rPr>
          <w:rFonts w:cs="Arial"/>
          <w:b/>
          <w:szCs w:val="24"/>
        </w:rPr>
      </w:pPr>
    </w:p>
    <w:p w14:paraId="7AE23954" w14:textId="77777777" w:rsidR="00A505A1" w:rsidRPr="00AC62FB" w:rsidRDefault="00A505A1" w:rsidP="00A505A1">
      <w:pPr>
        <w:jc w:val="center"/>
        <w:rPr>
          <w:rFonts w:cs="Arial"/>
          <w:b/>
          <w:szCs w:val="24"/>
        </w:rPr>
      </w:pPr>
    </w:p>
    <w:p w14:paraId="53BE3BC2" w14:textId="77777777" w:rsidR="00A505A1" w:rsidRPr="00AC62FB" w:rsidRDefault="00A505A1" w:rsidP="00A505A1">
      <w:pPr>
        <w:jc w:val="center"/>
        <w:rPr>
          <w:rFonts w:cs="Arial"/>
          <w:b/>
          <w:szCs w:val="24"/>
        </w:rPr>
      </w:pPr>
      <w:r w:rsidRPr="00AC62FB">
        <w:rPr>
          <w:rFonts w:cs="Arial"/>
          <w:b/>
          <w:szCs w:val="24"/>
        </w:rPr>
        <w:t>OFICINA DE CONTROL INTERNO</w:t>
      </w:r>
    </w:p>
    <w:p w14:paraId="44075F36" w14:textId="007BB71A" w:rsidR="00A505A1" w:rsidRPr="00AC62FB" w:rsidRDefault="00A505A1" w:rsidP="00A505A1">
      <w:pPr>
        <w:jc w:val="center"/>
        <w:rPr>
          <w:rFonts w:cs="Arial"/>
          <w:szCs w:val="24"/>
        </w:rPr>
      </w:pPr>
      <w:r w:rsidRPr="00AC62FB">
        <w:rPr>
          <w:rFonts w:cs="Arial"/>
          <w:b/>
          <w:szCs w:val="24"/>
        </w:rPr>
        <w:t>Bogotá D.C</w:t>
      </w:r>
      <w:r w:rsidR="00FB4DA8">
        <w:rPr>
          <w:rFonts w:cs="Arial"/>
          <w:b/>
          <w:szCs w:val="24"/>
        </w:rPr>
        <w:t>,</w:t>
      </w:r>
      <w:r w:rsidRPr="00AC62FB">
        <w:rPr>
          <w:rFonts w:cs="Arial"/>
          <w:b/>
          <w:szCs w:val="24"/>
        </w:rPr>
        <w:t xml:space="preserve"> </w:t>
      </w:r>
      <w:r w:rsidR="0033478B" w:rsidRPr="000F727D">
        <w:rPr>
          <w:rFonts w:cs="Arial"/>
          <w:b/>
          <w:szCs w:val="24"/>
        </w:rPr>
        <w:t>Diciembre</w:t>
      </w:r>
      <w:r w:rsidRPr="000F727D">
        <w:rPr>
          <w:rFonts w:cs="Arial"/>
          <w:b/>
          <w:szCs w:val="24"/>
        </w:rPr>
        <w:t xml:space="preserve"> de 2020</w:t>
      </w:r>
      <w:r w:rsidRPr="00203BDE">
        <w:rPr>
          <w:rFonts w:cs="Arial"/>
          <w:b/>
          <w:szCs w:val="24"/>
        </w:rPr>
        <w:t>.</w:t>
      </w:r>
    </w:p>
    <w:p w14:paraId="69DC7D5F" w14:textId="77777777" w:rsidR="00A505A1" w:rsidRPr="00AC62FB" w:rsidRDefault="00A505A1" w:rsidP="00A505A1">
      <w:pPr>
        <w:jc w:val="center"/>
        <w:rPr>
          <w:rFonts w:cs="Arial"/>
          <w:b/>
          <w:szCs w:val="24"/>
        </w:rPr>
      </w:pPr>
    </w:p>
    <w:p w14:paraId="4AC28EC9" w14:textId="77777777" w:rsidR="00A505A1" w:rsidRDefault="00A505A1" w:rsidP="00A505A1">
      <w:pPr>
        <w:pStyle w:val="Prrafodelista"/>
        <w:jc w:val="center"/>
        <w:rPr>
          <w:rFonts w:cs="Arial"/>
          <w:b/>
          <w:szCs w:val="24"/>
        </w:rPr>
      </w:pPr>
    </w:p>
    <w:p w14:paraId="24EC96BA" w14:textId="77777777" w:rsidR="009878E3" w:rsidRDefault="009878E3">
      <w:pPr>
        <w:spacing w:after="160" w:line="259" w:lineRule="auto"/>
        <w:jc w:val="left"/>
        <w:rPr>
          <w:rFonts w:cs="Arial"/>
          <w:b/>
          <w:szCs w:val="24"/>
        </w:rPr>
      </w:pPr>
      <w:r>
        <w:rPr>
          <w:rFonts w:cs="Arial"/>
          <w:b/>
          <w:szCs w:val="24"/>
        </w:rPr>
        <w:br w:type="page"/>
      </w:r>
    </w:p>
    <w:p w14:paraId="235F3204" w14:textId="77777777" w:rsidR="00A505A1" w:rsidRPr="00F20598" w:rsidRDefault="00A505A1" w:rsidP="00A505A1">
      <w:pPr>
        <w:pStyle w:val="Prrafodelista"/>
        <w:jc w:val="center"/>
        <w:rPr>
          <w:rFonts w:cs="Arial"/>
          <w:b/>
          <w:szCs w:val="24"/>
        </w:rPr>
      </w:pPr>
      <w:r w:rsidRPr="00F20598">
        <w:rPr>
          <w:rFonts w:cs="Arial"/>
          <w:b/>
          <w:szCs w:val="24"/>
        </w:rPr>
        <w:lastRenderedPageBreak/>
        <w:t xml:space="preserve">INFORME </w:t>
      </w:r>
      <w:r w:rsidRPr="008C1CE5">
        <w:rPr>
          <w:rFonts w:cs="Arial"/>
          <w:b/>
        </w:rPr>
        <w:t>EJECUTIVO DE SEGUIMIENTO A LA GESTIÓN DE RIESGOS</w:t>
      </w:r>
      <w:r w:rsidRPr="00F20598">
        <w:rPr>
          <w:rFonts w:cs="Arial"/>
          <w:b/>
          <w:szCs w:val="24"/>
        </w:rPr>
        <w:t xml:space="preserve"> </w:t>
      </w:r>
      <w:r>
        <w:rPr>
          <w:rFonts w:cs="Arial"/>
          <w:b/>
          <w:szCs w:val="24"/>
        </w:rPr>
        <w:t>EN LA ENTIDAD.</w:t>
      </w:r>
    </w:p>
    <w:p w14:paraId="160E9221" w14:textId="77777777" w:rsidR="00A505A1" w:rsidRDefault="00A505A1" w:rsidP="00A505A1">
      <w:pPr>
        <w:pStyle w:val="Ttulo1"/>
        <w:numPr>
          <w:ilvl w:val="0"/>
          <w:numId w:val="1"/>
        </w:numPr>
        <w:rPr>
          <w:rFonts w:ascii="Arial" w:hAnsi="Arial" w:cs="Arial"/>
          <w:b/>
          <w:color w:val="auto"/>
          <w:sz w:val="24"/>
          <w:szCs w:val="24"/>
        </w:rPr>
      </w:pPr>
      <w:r w:rsidRPr="00AC62FB">
        <w:rPr>
          <w:rFonts w:ascii="Arial" w:hAnsi="Arial" w:cs="Arial"/>
          <w:b/>
          <w:color w:val="auto"/>
          <w:sz w:val="24"/>
          <w:szCs w:val="24"/>
        </w:rPr>
        <w:t>OBJETIVO.</w:t>
      </w:r>
    </w:p>
    <w:p w14:paraId="4808CB30" w14:textId="77777777" w:rsidR="00A505A1" w:rsidRDefault="00A505A1" w:rsidP="00A505A1"/>
    <w:p w14:paraId="1467CA0E" w14:textId="020726B5" w:rsidR="00A505A1" w:rsidRPr="00A505A1" w:rsidRDefault="00A505A1" w:rsidP="007B1EB0">
      <w:r>
        <w:t>Evaluar la efectividad de los controles establecidos por la Entidad para administrar los riesgos identificados, atendiendo lo establecido en e</w:t>
      </w:r>
      <w:r w:rsidR="00BC22B3">
        <w:t>l Decreto Nacional 124 de 2016,</w:t>
      </w:r>
      <w:r>
        <w:t xml:space="preserve"> </w:t>
      </w:r>
      <w:r w:rsidR="00BC22B3">
        <w:t xml:space="preserve">la Resolución 108 de 2017 </w:t>
      </w:r>
      <w:r w:rsidR="00BC22B3" w:rsidRPr="00FB4DA8">
        <w:rPr>
          <w:rFonts w:cs="Arial"/>
          <w:i/>
          <w:iCs/>
        </w:rPr>
        <w:t>“</w:t>
      </w:r>
      <w:r w:rsidR="00BC22B3">
        <w:rPr>
          <w:rFonts w:cs="Arial"/>
          <w:i/>
          <w:iCs/>
        </w:rPr>
        <w:t xml:space="preserve">Por </w:t>
      </w:r>
      <w:r w:rsidR="00BC22B3" w:rsidRPr="00FB4DA8">
        <w:rPr>
          <w:rFonts w:cs="Arial"/>
          <w:i/>
          <w:iCs/>
        </w:rPr>
        <w:t>la cual se adopta la Política y los lineamientos para la Administración de Riesgos”</w:t>
      </w:r>
      <w:r w:rsidR="00BC22B3">
        <w:rPr>
          <w:rFonts w:cs="Arial"/>
          <w:i/>
          <w:iCs/>
        </w:rPr>
        <w:t xml:space="preserve"> </w:t>
      </w:r>
      <w:r w:rsidR="00BC22B3" w:rsidRPr="00BC22B3">
        <w:rPr>
          <w:rFonts w:cs="Arial"/>
          <w:iCs/>
        </w:rPr>
        <w:t>y la Resolución</w:t>
      </w:r>
      <w:r w:rsidR="00BC22B3">
        <w:rPr>
          <w:rFonts w:cs="Arial"/>
          <w:i/>
          <w:iCs/>
        </w:rPr>
        <w:t xml:space="preserve"> </w:t>
      </w:r>
      <w:r w:rsidR="00BC22B3">
        <w:t xml:space="preserve">157 de 2018 </w:t>
      </w:r>
      <w:r w:rsidR="00BC22B3" w:rsidRPr="00FB4DA8">
        <w:rPr>
          <w:rFonts w:cs="Arial"/>
          <w:i/>
          <w:iCs/>
        </w:rPr>
        <w:t>“</w:t>
      </w:r>
      <w:r w:rsidR="00BC22B3">
        <w:rPr>
          <w:rFonts w:cs="Arial"/>
          <w:i/>
          <w:iCs/>
        </w:rPr>
        <w:t>P</w:t>
      </w:r>
      <w:r w:rsidR="00BC22B3">
        <w:t xml:space="preserve">or medio de la cual se modifica la resolución 108 de 2017 </w:t>
      </w:r>
      <w:r w:rsidR="00BC22B3" w:rsidRPr="00FB4DA8">
        <w:rPr>
          <w:rFonts w:cs="Arial"/>
          <w:i/>
          <w:iCs/>
        </w:rPr>
        <w:t>“</w:t>
      </w:r>
      <w:r w:rsidR="00BC22B3">
        <w:rPr>
          <w:rFonts w:cs="Arial"/>
          <w:i/>
          <w:iCs/>
        </w:rPr>
        <w:t xml:space="preserve">Por </w:t>
      </w:r>
      <w:r w:rsidR="00BC22B3" w:rsidRPr="00FB4DA8">
        <w:rPr>
          <w:rFonts w:cs="Arial"/>
          <w:i/>
          <w:iCs/>
        </w:rPr>
        <w:t>la cual se adopta la Política y los lineamientos para la Administración de Riesgos”</w:t>
      </w:r>
    </w:p>
    <w:p w14:paraId="6CBF37DA" w14:textId="77777777" w:rsidR="00A505A1" w:rsidRPr="00AC62FB" w:rsidRDefault="00A505A1" w:rsidP="00A505A1">
      <w:pPr>
        <w:pStyle w:val="Ttulo1"/>
        <w:numPr>
          <w:ilvl w:val="0"/>
          <w:numId w:val="1"/>
        </w:numPr>
        <w:rPr>
          <w:rFonts w:ascii="Arial" w:hAnsi="Arial" w:cs="Arial"/>
          <w:b/>
          <w:color w:val="auto"/>
          <w:sz w:val="24"/>
          <w:szCs w:val="24"/>
        </w:rPr>
      </w:pPr>
      <w:r w:rsidRPr="00AC62FB">
        <w:rPr>
          <w:rFonts w:ascii="Arial" w:hAnsi="Arial" w:cs="Arial"/>
          <w:b/>
          <w:color w:val="auto"/>
          <w:sz w:val="24"/>
          <w:szCs w:val="24"/>
        </w:rPr>
        <w:t>ALCANCE.</w:t>
      </w:r>
    </w:p>
    <w:p w14:paraId="7ECE8BF2" w14:textId="77777777" w:rsidR="00A505A1" w:rsidRDefault="00A505A1" w:rsidP="00A505A1">
      <w:pPr>
        <w:pStyle w:val="Default"/>
        <w:jc w:val="both"/>
      </w:pPr>
    </w:p>
    <w:p w14:paraId="54DBB687" w14:textId="4D5865C6" w:rsidR="00A505A1" w:rsidRDefault="00A505A1" w:rsidP="00A505A1">
      <w:pPr>
        <w:pStyle w:val="Default"/>
        <w:jc w:val="both"/>
      </w:pPr>
      <w:r>
        <w:t xml:space="preserve">Monitoreo de la efectividad de los controles implementados para el tratamiento de los riesgos identificados en el mapa de riesgos de proceso y de corrupción de la Entidad, a partir de la verificación de su diseño y aplicación, según la información reportada a la Oficina Asesora de Planeación </w:t>
      </w:r>
      <w:r w:rsidR="00245A46">
        <w:t>a diciembre de 2020.</w:t>
      </w:r>
    </w:p>
    <w:p w14:paraId="0BF63D60" w14:textId="77777777" w:rsidR="00A505A1" w:rsidRDefault="00A505A1" w:rsidP="00A505A1">
      <w:pPr>
        <w:pStyle w:val="Default"/>
        <w:jc w:val="both"/>
      </w:pPr>
    </w:p>
    <w:p w14:paraId="009D47AC" w14:textId="77777777" w:rsidR="00A505A1" w:rsidRPr="00AC62FB" w:rsidRDefault="00A505A1" w:rsidP="00A505A1">
      <w:pPr>
        <w:pStyle w:val="Default"/>
        <w:numPr>
          <w:ilvl w:val="0"/>
          <w:numId w:val="1"/>
        </w:numPr>
        <w:jc w:val="both"/>
        <w:rPr>
          <w:b/>
          <w:bCs/>
          <w:color w:val="auto"/>
        </w:rPr>
      </w:pPr>
      <w:r w:rsidRPr="00AC62FB">
        <w:rPr>
          <w:b/>
          <w:bCs/>
          <w:color w:val="auto"/>
        </w:rPr>
        <w:t>CRITERIOS DE AUDITOR</w:t>
      </w:r>
      <w:r w:rsidR="008806BB">
        <w:rPr>
          <w:b/>
          <w:bCs/>
          <w:color w:val="auto"/>
        </w:rPr>
        <w:t>Í</w:t>
      </w:r>
      <w:r w:rsidRPr="00AC62FB">
        <w:rPr>
          <w:b/>
          <w:bCs/>
          <w:color w:val="auto"/>
        </w:rPr>
        <w:t>A</w:t>
      </w:r>
      <w:r w:rsidR="008806BB">
        <w:rPr>
          <w:b/>
          <w:bCs/>
          <w:color w:val="auto"/>
        </w:rPr>
        <w:t>.</w:t>
      </w:r>
      <w:r w:rsidRPr="00AC62FB">
        <w:rPr>
          <w:b/>
          <w:bCs/>
          <w:color w:val="auto"/>
        </w:rPr>
        <w:t xml:space="preserve"> </w:t>
      </w:r>
    </w:p>
    <w:p w14:paraId="2CD34303" w14:textId="77777777" w:rsidR="00A505A1" w:rsidRDefault="00A505A1" w:rsidP="00A505A1">
      <w:pPr>
        <w:pStyle w:val="Prrafodelista"/>
        <w:rPr>
          <w:rFonts w:cs="Arial"/>
          <w:b/>
          <w:szCs w:val="24"/>
        </w:rPr>
      </w:pPr>
    </w:p>
    <w:p w14:paraId="3FBEA667" w14:textId="77777777" w:rsidR="00A505A1" w:rsidRDefault="00A505A1" w:rsidP="00A505A1">
      <w:pPr>
        <w:pStyle w:val="Default"/>
        <w:numPr>
          <w:ilvl w:val="0"/>
          <w:numId w:val="3"/>
        </w:numPr>
        <w:jc w:val="both"/>
      </w:pPr>
      <w:r>
        <w:t xml:space="preserve">Ley 1474 de 2011, art. 73. </w:t>
      </w:r>
    </w:p>
    <w:p w14:paraId="10029A5F" w14:textId="77777777" w:rsidR="00A505A1" w:rsidRPr="00A505A1" w:rsidRDefault="00A505A1" w:rsidP="00A505A1">
      <w:pPr>
        <w:pStyle w:val="Default"/>
        <w:numPr>
          <w:ilvl w:val="0"/>
          <w:numId w:val="3"/>
        </w:numPr>
        <w:jc w:val="both"/>
      </w:pPr>
      <w:r>
        <w:t>Ley 1712 de 2014, art. 9</w:t>
      </w:r>
    </w:p>
    <w:p w14:paraId="4EE8DB51" w14:textId="77777777" w:rsidR="00A505A1" w:rsidRDefault="00A505A1" w:rsidP="00A505A1">
      <w:pPr>
        <w:pStyle w:val="Default"/>
        <w:numPr>
          <w:ilvl w:val="0"/>
          <w:numId w:val="3"/>
        </w:numPr>
        <w:jc w:val="both"/>
      </w:pPr>
      <w:r>
        <w:t xml:space="preserve">Decreto Nacional 124 de 2016. </w:t>
      </w:r>
    </w:p>
    <w:p w14:paraId="5632A417" w14:textId="77777777" w:rsidR="00A505A1" w:rsidRDefault="00A505A1" w:rsidP="00A505A1">
      <w:pPr>
        <w:pStyle w:val="Default"/>
        <w:numPr>
          <w:ilvl w:val="0"/>
          <w:numId w:val="3"/>
        </w:numPr>
        <w:jc w:val="both"/>
      </w:pPr>
      <w:r>
        <w:t xml:space="preserve">Estrategias para la construcción del Plan Anticorrupción y de Atención al Ciudadano Vs 2 de 2015 – Secretaria de Transparencia de la Presidencia de la Republica. </w:t>
      </w:r>
    </w:p>
    <w:p w14:paraId="6FCDF53F" w14:textId="77777777" w:rsidR="00A505A1" w:rsidRDefault="00A505A1" w:rsidP="00A505A1">
      <w:pPr>
        <w:pStyle w:val="Default"/>
        <w:numPr>
          <w:ilvl w:val="0"/>
          <w:numId w:val="3"/>
        </w:numPr>
        <w:jc w:val="both"/>
      </w:pPr>
      <w:r w:rsidRPr="008C1CE5">
        <w:t xml:space="preserve">Resolución </w:t>
      </w:r>
      <w:r>
        <w:t xml:space="preserve">interna </w:t>
      </w:r>
      <w:r w:rsidRPr="008C1CE5">
        <w:t>108 de 2017</w:t>
      </w:r>
      <w:r>
        <w:t xml:space="preserve"> </w:t>
      </w:r>
      <w:r w:rsidRPr="008C1CE5">
        <w:t>“adopta la Política y los lineamientos para la Administración de Riesgos”</w:t>
      </w:r>
    </w:p>
    <w:p w14:paraId="4B466B7F" w14:textId="5FC4310B" w:rsidR="00A505A1" w:rsidRPr="00A505A1" w:rsidRDefault="00A505A1" w:rsidP="00A505A1">
      <w:pPr>
        <w:pStyle w:val="Default"/>
        <w:numPr>
          <w:ilvl w:val="0"/>
          <w:numId w:val="3"/>
        </w:numPr>
        <w:jc w:val="both"/>
        <w:rPr>
          <w:rFonts w:cstheme="minorBidi"/>
        </w:rPr>
      </w:pPr>
      <w:r>
        <w:t>I</w:t>
      </w:r>
      <w:r w:rsidRPr="008C1CE5">
        <w:t xml:space="preserve">nstructivo </w:t>
      </w:r>
      <w:r>
        <w:t xml:space="preserve">para la administración del riesgo - </w:t>
      </w:r>
      <w:r w:rsidRPr="008C1CE5">
        <w:t>IN-MIC-03-04 V.</w:t>
      </w:r>
      <w:r w:rsidR="00203BDE">
        <w:t>05</w:t>
      </w:r>
    </w:p>
    <w:p w14:paraId="6796B97B" w14:textId="77777777" w:rsidR="00A505A1" w:rsidRPr="00A505A1" w:rsidRDefault="00A505A1" w:rsidP="00A505A1">
      <w:pPr>
        <w:pStyle w:val="Default"/>
        <w:numPr>
          <w:ilvl w:val="0"/>
          <w:numId w:val="3"/>
        </w:numPr>
        <w:jc w:val="both"/>
        <w:rPr>
          <w:rFonts w:cstheme="minorBidi"/>
        </w:rPr>
      </w:pPr>
      <w:r>
        <w:t>Guía para la elaboración del riesgo.</w:t>
      </w:r>
    </w:p>
    <w:p w14:paraId="1C56956D" w14:textId="77777777" w:rsidR="00A505A1" w:rsidRDefault="00A505A1" w:rsidP="00A505A1">
      <w:pPr>
        <w:ind w:left="360"/>
      </w:pPr>
    </w:p>
    <w:p w14:paraId="40AF4619" w14:textId="77777777" w:rsidR="00A505A1" w:rsidRPr="00A505A1" w:rsidRDefault="00A505A1" w:rsidP="00A505A1">
      <w:pPr>
        <w:pStyle w:val="Prrafodelista"/>
        <w:numPr>
          <w:ilvl w:val="0"/>
          <w:numId w:val="1"/>
        </w:numPr>
        <w:spacing w:after="160" w:line="259" w:lineRule="auto"/>
        <w:ind w:left="426" w:right="-376" w:firstLine="0"/>
        <w:jc w:val="left"/>
        <w:rPr>
          <w:rFonts w:eastAsiaTheme="minorHAnsi" w:cs="Arial"/>
          <w:b/>
          <w:bCs/>
          <w:szCs w:val="24"/>
          <w:lang w:eastAsia="en-US"/>
        </w:rPr>
      </w:pPr>
      <w:r w:rsidRPr="00A505A1">
        <w:rPr>
          <w:rFonts w:cs="Arial"/>
          <w:b/>
          <w:szCs w:val="24"/>
        </w:rPr>
        <w:t>METODOLOG</w:t>
      </w:r>
      <w:r w:rsidR="008806BB">
        <w:rPr>
          <w:rFonts w:cs="Arial"/>
          <w:b/>
          <w:szCs w:val="24"/>
        </w:rPr>
        <w:t>Í</w:t>
      </w:r>
      <w:r w:rsidRPr="00A505A1">
        <w:rPr>
          <w:rFonts w:cs="Arial"/>
          <w:b/>
          <w:szCs w:val="24"/>
        </w:rPr>
        <w:t>A</w:t>
      </w:r>
      <w:r w:rsidR="008806BB">
        <w:rPr>
          <w:rFonts w:cs="Arial"/>
          <w:b/>
          <w:szCs w:val="24"/>
        </w:rPr>
        <w:t>.</w:t>
      </w:r>
      <w:r w:rsidRPr="00A505A1">
        <w:rPr>
          <w:rFonts w:cs="Arial"/>
          <w:b/>
          <w:szCs w:val="24"/>
        </w:rPr>
        <w:t xml:space="preserve"> </w:t>
      </w:r>
    </w:p>
    <w:p w14:paraId="1F20FC35" w14:textId="77777777" w:rsidR="00A505A1" w:rsidRDefault="00A505A1" w:rsidP="008806BB">
      <w:pPr>
        <w:spacing w:after="160" w:line="259" w:lineRule="auto"/>
        <w:ind w:right="-376"/>
        <w:rPr>
          <w:rFonts w:eastAsiaTheme="minorHAnsi" w:cs="Arial"/>
          <w:szCs w:val="24"/>
          <w:lang w:eastAsia="en-US"/>
        </w:rPr>
      </w:pPr>
      <w:r w:rsidRPr="00B65F31">
        <w:rPr>
          <w:rFonts w:eastAsiaTheme="minorHAnsi" w:cs="Arial"/>
          <w:szCs w:val="24"/>
          <w:lang w:eastAsia="en-US"/>
        </w:rPr>
        <w:t xml:space="preserve">Para la elaboración del seguimiento efectuado se </w:t>
      </w:r>
      <w:r w:rsidR="00D27377" w:rsidRPr="00B65F31">
        <w:rPr>
          <w:rFonts w:eastAsiaTheme="minorHAnsi" w:cs="Arial"/>
          <w:szCs w:val="24"/>
          <w:lang w:eastAsia="en-US"/>
        </w:rPr>
        <w:t>realiz</w:t>
      </w:r>
      <w:r w:rsidR="00D27377">
        <w:rPr>
          <w:rFonts w:eastAsiaTheme="minorHAnsi" w:cs="Arial"/>
          <w:szCs w:val="24"/>
          <w:lang w:eastAsia="en-US"/>
        </w:rPr>
        <w:t xml:space="preserve">aron </w:t>
      </w:r>
      <w:r w:rsidR="00D27377" w:rsidRPr="00B65F31">
        <w:rPr>
          <w:rFonts w:eastAsiaTheme="minorHAnsi" w:cs="Arial"/>
          <w:szCs w:val="24"/>
          <w:lang w:eastAsia="en-US"/>
        </w:rPr>
        <w:t>las</w:t>
      </w:r>
      <w:r>
        <w:rPr>
          <w:rFonts w:eastAsiaTheme="minorHAnsi" w:cs="Arial"/>
          <w:szCs w:val="24"/>
          <w:lang w:eastAsia="en-US"/>
        </w:rPr>
        <w:t xml:space="preserve"> </w:t>
      </w:r>
      <w:r w:rsidRPr="00B65F31">
        <w:rPr>
          <w:rFonts w:eastAsiaTheme="minorHAnsi" w:cs="Arial"/>
          <w:szCs w:val="24"/>
          <w:lang w:eastAsia="en-US"/>
        </w:rPr>
        <w:t>siguientes actividades de auditoría</w:t>
      </w:r>
      <w:r>
        <w:rPr>
          <w:rFonts w:eastAsiaTheme="minorHAnsi" w:cs="Arial"/>
          <w:szCs w:val="24"/>
          <w:lang w:eastAsia="en-US"/>
        </w:rPr>
        <w:t>.</w:t>
      </w:r>
    </w:p>
    <w:p w14:paraId="4F784FE6" w14:textId="77777777" w:rsidR="00A505A1" w:rsidRPr="00B65F31" w:rsidRDefault="00A505A1" w:rsidP="00A505A1">
      <w:pPr>
        <w:spacing w:after="160" w:line="259" w:lineRule="auto"/>
        <w:ind w:right="-376"/>
        <w:jc w:val="left"/>
        <w:rPr>
          <w:rFonts w:eastAsiaTheme="minorHAnsi" w:cs="Arial"/>
          <w:szCs w:val="24"/>
          <w:lang w:eastAsia="en-US"/>
        </w:rPr>
      </w:pPr>
    </w:p>
    <w:p w14:paraId="559E11CE" w14:textId="77777777" w:rsidR="00A505A1" w:rsidRDefault="00A505A1" w:rsidP="00A505A1">
      <w:pPr>
        <w:pStyle w:val="Prrafodelista"/>
        <w:rPr>
          <w:rFonts w:eastAsiaTheme="minorHAnsi" w:cs="Arial"/>
          <w:b/>
          <w:bCs/>
          <w:szCs w:val="24"/>
          <w:lang w:eastAsia="en-US"/>
        </w:rPr>
      </w:pPr>
    </w:p>
    <w:p w14:paraId="2C1DF137" w14:textId="77777777" w:rsidR="007B1EB0" w:rsidRDefault="007B1EB0">
      <w:pPr>
        <w:spacing w:after="160" w:line="259" w:lineRule="auto"/>
        <w:jc w:val="left"/>
        <w:rPr>
          <w:rFonts w:eastAsiaTheme="minorHAnsi" w:cs="Arial"/>
          <w:b/>
          <w:bCs/>
          <w:szCs w:val="24"/>
          <w:lang w:eastAsia="en-US"/>
        </w:rPr>
      </w:pPr>
      <w:r>
        <w:rPr>
          <w:rFonts w:eastAsiaTheme="minorHAnsi" w:cs="Arial"/>
          <w:b/>
          <w:bCs/>
          <w:szCs w:val="24"/>
          <w:lang w:eastAsia="en-US"/>
        </w:rPr>
        <w:br w:type="page"/>
      </w:r>
    </w:p>
    <w:p w14:paraId="13BB9B9B" w14:textId="77777777" w:rsidR="00E46B65" w:rsidRPr="00B65F31" w:rsidRDefault="00E46B65" w:rsidP="00A505A1">
      <w:pPr>
        <w:pStyle w:val="Prrafodelista"/>
        <w:rPr>
          <w:rFonts w:eastAsiaTheme="minorHAnsi" w:cs="Arial"/>
          <w:b/>
          <w:bCs/>
          <w:szCs w:val="24"/>
          <w:lang w:eastAsia="en-US"/>
        </w:rPr>
      </w:pPr>
    </w:p>
    <w:p w14:paraId="1F4D4DDF" w14:textId="77777777" w:rsidR="00A505A1" w:rsidRDefault="00A505A1" w:rsidP="00A505A1">
      <w:pPr>
        <w:pStyle w:val="Prrafodelista"/>
        <w:numPr>
          <w:ilvl w:val="0"/>
          <w:numId w:val="1"/>
        </w:numPr>
        <w:spacing w:after="160" w:line="259" w:lineRule="auto"/>
        <w:ind w:left="426" w:right="-376" w:firstLine="0"/>
        <w:jc w:val="left"/>
        <w:rPr>
          <w:rFonts w:eastAsiaTheme="minorHAnsi" w:cs="Arial"/>
          <w:b/>
          <w:bCs/>
          <w:szCs w:val="24"/>
          <w:lang w:eastAsia="en-US"/>
        </w:rPr>
      </w:pPr>
      <w:r>
        <w:rPr>
          <w:rFonts w:eastAsiaTheme="minorHAnsi" w:cs="Arial"/>
          <w:b/>
          <w:bCs/>
          <w:szCs w:val="24"/>
          <w:lang w:eastAsia="en-US"/>
        </w:rPr>
        <w:t>RESULTADOS DEL SEGUIMIENTO Y EVALUACIÓN</w:t>
      </w:r>
      <w:r w:rsidR="007B1EB0">
        <w:rPr>
          <w:rFonts w:eastAsiaTheme="minorHAnsi" w:cs="Arial"/>
          <w:b/>
          <w:bCs/>
          <w:szCs w:val="24"/>
          <w:lang w:eastAsia="en-US"/>
        </w:rPr>
        <w:t>.</w:t>
      </w:r>
    </w:p>
    <w:p w14:paraId="07A4B951" w14:textId="77777777" w:rsidR="00E46B65" w:rsidRPr="008F1E63" w:rsidRDefault="00E46B65" w:rsidP="008F1E63">
      <w:pPr>
        <w:pStyle w:val="Sinespaciado"/>
        <w:rPr>
          <w:rFonts w:cs="Arial"/>
          <w:szCs w:val="24"/>
        </w:rPr>
      </w:pPr>
    </w:p>
    <w:p w14:paraId="55662035" w14:textId="16D22C9D" w:rsidR="008F1E63" w:rsidRDefault="008F1E63" w:rsidP="00A505A1">
      <w:pPr>
        <w:pStyle w:val="Ttulo4"/>
        <w:rPr>
          <w:rFonts w:ascii="Arial" w:hAnsi="Arial" w:cs="Arial"/>
          <w:b/>
          <w:i w:val="0"/>
          <w:color w:val="auto"/>
          <w:szCs w:val="24"/>
        </w:rPr>
      </w:pPr>
      <w:r>
        <w:rPr>
          <w:rFonts w:ascii="Arial" w:hAnsi="Arial" w:cs="Arial"/>
          <w:b/>
          <w:i w:val="0"/>
          <w:color w:val="auto"/>
          <w:szCs w:val="24"/>
        </w:rPr>
        <w:t>5.</w:t>
      </w:r>
      <w:r w:rsidR="00245A46">
        <w:rPr>
          <w:rFonts w:ascii="Arial" w:hAnsi="Arial" w:cs="Arial"/>
          <w:b/>
          <w:i w:val="0"/>
          <w:color w:val="auto"/>
          <w:szCs w:val="24"/>
        </w:rPr>
        <w:t>1</w:t>
      </w:r>
      <w:r>
        <w:rPr>
          <w:rFonts w:ascii="Arial" w:hAnsi="Arial" w:cs="Arial"/>
          <w:b/>
          <w:i w:val="0"/>
          <w:color w:val="auto"/>
          <w:szCs w:val="24"/>
        </w:rPr>
        <w:t xml:space="preserve">. </w:t>
      </w:r>
      <w:r w:rsidR="00651D7E">
        <w:rPr>
          <w:rFonts w:ascii="Arial" w:hAnsi="Arial" w:cs="Arial"/>
          <w:b/>
          <w:i w:val="0"/>
          <w:color w:val="auto"/>
          <w:szCs w:val="24"/>
        </w:rPr>
        <w:t xml:space="preserve">Estado del Mapa de </w:t>
      </w:r>
      <w:r>
        <w:rPr>
          <w:rFonts w:ascii="Arial" w:hAnsi="Arial" w:cs="Arial"/>
          <w:b/>
          <w:i w:val="0"/>
          <w:color w:val="auto"/>
          <w:szCs w:val="24"/>
        </w:rPr>
        <w:t>Riesgos</w:t>
      </w:r>
      <w:r w:rsidR="00651D7E">
        <w:rPr>
          <w:rFonts w:ascii="Arial" w:hAnsi="Arial" w:cs="Arial"/>
          <w:b/>
          <w:i w:val="0"/>
          <w:color w:val="auto"/>
          <w:szCs w:val="24"/>
        </w:rPr>
        <w:t>.</w:t>
      </w:r>
    </w:p>
    <w:p w14:paraId="49EE6B8B" w14:textId="77777777" w:rsidR="00E46B65" w:rsidRDefault="00E46B65" w:rsidP="00B620B6">
      <w:pPr>
        <w:spacing w:after="0"/>
        <w:rPr>
          <w:rFonts w:cs="Arial"/>
        </w:rPr>
      </w:pPr>
    </w:p>
    <w:p w14:paraId="5AA0889D" w14:textId="6C823AD6" w:rsidR="00651D7E" w:rsidRPr="00DB2F3B" w:rsidRDefault="008F1E63" w:rsidP="00DB2F3B">
      <w:r w:rsidRPr="008C1CE5">
        <w:rPr>
          <w:rFonts w:cs="Arial"/>
        </w:rPr>
        <w:t xml:space="preserve">De conformidad con el seguimiento efectuado por parte de los respectivos responsables de proceso, a la fecha se identifican </w:t>
      </w:r>
      <w:r>
        <w:rPr>
          <w:rFonts w:cs="Arial"/>
        </w:rPr>
        <w:t xml:space="preserve">63 </w:t>
      </w:r>
      <w:r w:rsidRPr="008C1CE5">
        <w:rPr>
          <w:rFonts w:cs="Arial"/>
        </w:rPr>
        <w:t xml:space="preserve">riesgos, de los cuales 13 </w:t>
      </w:r>
      <w:r>
        <w:rPr>
          <w:rFonts w:cs="Arial"/>
        </w:rPr>
        <w:t xml:space="preserve">corresponden a riesgos </w:t>
      </w:r>
      <w:r w:rsidRPr="008C1CE5">
        <w:rPr>
          <w:rFonts w:cs="Arial"/>
        </w:rPr>
        <w:t xml:space="preserve">de corrupción; para el periodo evaluado </w:t>
      </w:r>
      <w:r w:rsidRPr="000F727D">
        <w:rPr>
          <w:rFonts w:cs="Arial"/>
        </w:rPr>
        <w:t xml:space="preserve">se reporta </w:t>
      </w:r>
      <w:r w:rsidR="00DB2F3B" w:rsidRPr="000F727D">
        <w:rPr>
          <w:rFonts w:cs="Arial"/>
        </w:rPr>
        <w:t>por parte del responsable</w:t>
      </w:r>
      <w:r w:rsidRPr="000F727D">
        <w:rPr>
          <w:rFonts w:cs="Arial"/>
        </w:rPr>
        <w:t xml:space="preserve"> de proceso (1) riesgo materializado</w:t>
      </w:r>
      <w:r w:rsidR="00B620B6" w:rsidRPr="000F727D">
        <w:rPr>
          <w:rFonts w:cs="Arial"/>
        </w:rPr>
        <w:t>;</w:t>
      </w:r>
      <w:r w:rsidR="00B914BC" w:rsidRPr="000F727D">
        <w:rPr>
          <w:rFonts w:cs="Arial"/>
        </w:rPr>
        <w:t xml:space="preserve"> y </w:t>
      </w:r>
      <w:r w:rsidR="00DB2F3B" w:rsidRPr="000F727D">
        <w:t xml:space="preserve">en el seguimiento efectuado por parte de las auditorías internas realizadas en el segundo semestre de 2020 se identificó materialización de dos (2)  riesgos, </w:t>
      </w:r>
      <w:r w:rsidR="00B75462" w:rsidRPr="000F727D">
        <w:t xml:space="preserve">con base en lo anterior y </w:t>
      </w:r>
      <w:r w:rsidR="00B620B6" w:rsidRPr="000F727D">
        <w:rPr>
          <w:rFonts w:cs="Arial"/>
        </w:rPr>
        <w:t>e</w:t>
      </w:r>
      <w:r w:rsidR="00DB2F3B" w:rsidRPr="000F727D">
        <w:rPr>
          <w:rFonts w:cs="Arial"/>
        </w:rPr>
        <w:t>n</w:t>
      </w:r>
      <w:r w:rsidR="00B620B6" w:rsidRPr="000F727D">
        <w:rPr>
          <w:rFonts w:cs="Arial"/>
        </w:rPr>
        <w:t xml:space="preserve"> la re</w:t>
      </w:r>
      <w:r w:rsidR="00B620B6" w:rsidRPr="00203BDE">
        <w:rPr>
          <w:rFonts w:cs="Arial"/>
        </w:rPr>
        <w:t>visión</w:t>
      </w:r>
      <w:r w:rsidR="00B620B6">
        <w:rPr>
          <w:rFonts w:cs="Arial"/>
        </w:rPr>
        <w:t xml:space="preserve"> y</w:t>
      </w:r>
      <w:r w:rsidR="00651D7E" w:rsidRPr="008C1CE5">
        <w:rPr>
          <w:rFonts w:cs="Arial"/>
        </w:rPr>
        <w:t xml:space="preserve"> análisis </w:t>
      </w:r>
      <w:r w:rsidR="00B620B6">
        <w:rPr>
          <w:rFonts w:cs="Arial"/>
        </w:rPr>
        <w:t xml:space="preserve">efectuado por parte de esta Oficina se </w:t>
      </w:r>
      <w:r w:rsidR="00651D7E" w:rsidRPr="008C1CE5">
        <w:rPr>
          <w:rFonts w:cs="Arial"/>
        </w:rPr>
        <w:t>observa de manera general lo siguiente:</w:t>
      </w:r>
    </w:p>
    <w:p w14:paraId="5BA5D60F" w14:textId="77777777" w:rsidR="008F1E63" w:rsidRDefault="008F1E63" w:rsidP="008F1E63">
      <w:pPr>
        <w:spacing w:after="0"/>
        <w:rPr>
          <w:rFonts w:cs="Arial"/>
        </w:rPr>
      </w:pPr>
      <w:r w:rsidRPr="008C1CE5">
        <w:rPr>
          <w:rFonts w:cs="Arial"/>
        </w:rPr>
        <w:t xml:space="preserve">  </w:t>
      </w:r>
    </w:p>
    <w:p w14:paraId="0411F44A" w14:textId="77777777" w:rsidR="00E46B65" w:rsidRDefault="00E46B65">
      <w:pPr>
        <w:spacing w:after="160" w:line="259" w:lineRule="auto"/>
        <w:jc w:val="left"/>
        <w:rPr>
          <w:rFonts w:cs="Arial"/>
          <w:b/>
          <w:bCs/>
        </w:rPr>
      </w:pPr>
      <w:r>
        <w:rPr>
          <w:rFonts w:cs="Arial"/>
          <w:b/>
          <w:bCs/>
        </w:rPr>
        <w:br w:type="page"/>
      </w:r>
    </w:p>
    <w:p w14:paraId="3FD57182" w14:textId="77777777" w:rsidR="00B620B6" w:rsidRDefault="00B620B6" w:rsidP="008F1E63">
      <w:pPr>
        <w:spacing w:after="0"/>
        <w:rPr>
          <w:rFonts w:cs="Arial"/>
          <w:b/>
          <w:bCs/>
        </w:rPr>
      </w:pPr>
      <w:r w:rsidRPr="00B620B6">
        <w:rPr>
          <w:rFonts w:cs="Arial"/>
          <w:b/>
          <w:bCs/>
        </w:rPr>
        <w:lastRenderedPageBreak/>
        <w:t>5.2.1. Tipos de Riesgos Identificados.</w:t>
      </w:r>
    </w:p>
    <w:p w14:paraId="7A704BA9" w14:textId="77777777" w:rsidR="003A2A93" w:rsidRDefault="003A2A93" w:rsidP="00CC01AB">
      <w:pPr>
        <w:spacing w:after="0"/>
        <w:rPr>
          <w:rFonts w:cs="Arial"/>
        </w:rPr>
      </w:pPr>
    </w:p>
    <w:p w14:paraId="41137E84" w14:textId="77777777" w:rsidR="00CC01AB" w:rsidRDefault="00CC01AB" w:rsidP="00CC01AB">
      <w:pPr>
        <w:spacing w:after="0"/>
        <w:rPr>
          <w:rFonts w:cs="Arial"/>
        </w:rPr>
      </w:pPr>
      <w:r w:rsidRPr="0059429A">
        <w:rPr>
          <w:rFonts w:cs="Arial"/>
        </w:rPr>
        <w:t xml:space="preserve">De acuerdo </w:t>
      </w:r>
      <w:r w:rsidR="003A2A93">
        <w:rPr>
          <w:rFonts w:cs="Arial"/>
        </w:rPr>
        <w:t>con</w:t>
      </w:r>
      <w:r w:rsidRPr="0059429A">
        <w:rPr>
          <w:rFonts w:cs="Arial"/>
        </w:rPr>
        <w:t xml:space="preserve"> la matriz de riesgo</w:t>
      </w:r>
      <w:r>
        <w:rPr>
          <w:rFonts w:cs="Arial"/>
        </w:rPr>
        <w:t xml:space="preserve">s y </w:t>
      </w:r>
      <w:r w:rsidRPr="0059429A">
        <w:rPr>
          <w:rFonts w:cs="Arial"/>
        </w:rPr>
        <w:t>a los lineamientos generales establecid</w:t>
      </w:r>
      <w:r w:rsidR="008806BB">
        <w:rPr>
          <w:rFonts w:cs="Arial"/>
        </w:rPr>
        <w:t>o</w:t>
      </w:r>
      <w:r w:rsidRPr="0059429A">
        <w:rPr>
          <w:rFonts w:cs="Arial"/>
        </w:rPr>
        <w:t xml:space="preserve">s en el instructivo y la Política de Administración de Riesgos, el IDEP identificó </w:t>
      </w:r>
      <w:r>
        <w:rPr>
          <w:rFonts w:cs="Arial"/>
        </w:rPr>
        <w:t>riesgos de</w:t>
      </w:r>
      <w:r w:rsidRPr="0059429A">
        <w:rPr>
          <w:rFonts w:cs="Arial"/>
        </w:rPr>
        <w:t xml:space="preserve"> corrupción, tecnológicos, de cumplimiento, financieros, operativos, de imagen y estratégicos</w:t>
      </w:r>
      <w:r>
        <w:rPr>
          <w:rFonts w:cs="Arial"/>
        </w:rPr>
        <w:t xml:space="preserve">, los </w:t>
      </w:r>
      <w:r w:rsidR="003A2A93">
        <w:rPr>
          <w:rFonts w:cs="Arial"/>
        </w:rPr>
        <w:t xml:space="preserve">estructura por proceso y riesgo se distribuye así:  </w:t>
      </w:r>
    </w:p>
    <w:p w14:paraId="23E96BFD" w14:textId="77777777" w:rsidR="003A2A93" w:rsidRDefault="003A2A93" w:rsidP="00CC01AB">
      <w:pPr>
        <w:spacing w:after="0"/>
        <w:rPr>
          <w:rFonts w:cs="Arial"/>
        </w:rPr>
      </w:pPr>
    </w:p>
    <w:p w14:paraId="4CE0A12D" w14:textId="77777777" w:rsidR="003A2A93" w:rsidRDefault="003A2A93" w:rsidP="008806BB">
      <w:pPr>
        <w:spacing w:after="0"/>
        <w:jc w:val="center"/>
        <w:rPr>
          <w:rFonts w:cs="Arial"/>
        </w:rPr>
      </w:pPr>
      <w:r>
        <w:rPr>
          <w:noProof/>
          <w:lang w:val="es-ES" w:eastAsia="es-ES"/>
        </w:rPr>
        <w:drawing>
          <wp:inline distT="0" distB="0" distL="0" distR="0" wp14:anchorId="71521C1C" wp14:editId="760D632B">
            <wp:extent cx="5882054" cy="4371975"/>
            <wp:effectExtent l="0" t="0" r="4445" b="9525"/>
            <wp:docPr id="4" name="Gráfico 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321C693-44EF-4EF5-8021-ADD77E2C93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0941423" w14:textId="6F23B76F" w:rsidR="00B620B6" w:rsidRPr="005A09D8" w:rsidRDefault="005A09D8" w:rsidP="008F1E63">
      <w:pPr>
        <w:spacing w:after="0"/>
        <w:rPr>
          <w:rFonts w:cs="Arial"/>
          <w:i/>
          <w:iCs/>
          <w:sz w:val="18"/>
          <w:szCs w:val="16"/>
        </w:rPr>
      </w:pPr>
      <w:r w:rsidRPr="005A09D8">
        <w:rPr>
          <w:rFonts w:cs="Arial"/>
          <w:i/>
          <w:iCs/>
          <w:sz w:val="18"/>
          <w:szCs w:val="16"/>
        </w:rPr>
        <w:t>Fuente</w:t>
      </w:r>
      <w:proofErr w:type="gramStart"/>
      <w:r w:rsidRPr="005A09D8">
        <w:rPr>
          <w:rFonts w:cs="Arial"/>
          <w:i/>
          <w:iCs/>
          <w:sz w:val="18"/>
          <w:szCs w:val="16"/>
        </w:rPr>
        <w:t>:  Ma</w:t>
      </w:r>
      <w:r w:rsidR="008323C6">
        <w:rPr>
          <w:rFonts w:cs="Arial"/>
          <w:i/>
          <w:iCs/>
          <w:sz w:val="18"/>
          <w:szCs w:val="16"/>
        </w:rPr>
        <w:t>pa</w:t>
      </w:r>
      <w:proofErr w:type="gramEnd"/>
      <w:r w:rsidR="008323C6">
        <w:rPr>
          <w:rFonts w:cs="Arial"/>
          <w:i/>
          <w:iCs/>
          <w:sz w:val="18"/>
          <w:szCs w:val="16"/>
        </w:rPr>
        <w:t xml:space="preserve"> de riesgos con corte a diciembre </w:t>
      </w:r>
      <w:r w:rsidRPr="005A09D8">
        <w:rPr>
          <w:rFonts w:cs="Arial"/>
          <w:i/>
          <w:iCs/>
          <w:sz w:val="18"/>
          <w:szCs w:val="16"/>
        </w:rPr>
        <w:t>de 2020.</w:t>
      </w:r>
    </w:p>
    <w:p w14:paraId="2BD565EC" w14:textId="77777777" w:rsidR="005A09D8" w:rsidRDefault="005A09D8" w:rsidP="003A2A93">
      <w:pPr>
        <w:spacing w:after="0"/>
        <w:rPr>
          <w:rFonts w:cs="Arial"/>
        </w:rPr>
      </w:pPr>
    </w:p>
    <w:p w14:paraId="34B3D518" w14:textId="77777777" w:rsidR="003A2A93" w:rsidRDefault="003A2A93" w:rsidP="003A2A93">
      <w:pPr>
        <w:spacing w:after="0"/>
        <w:rPr>
          <w:rFonts w:cs="Arial"/>
        </w:rPr>
      </w:pPr>
      <w:r w:rsidRPr="0059429A">
        <w:rPr>
          <w:rFonts w:cs="Arial"/>
        </w:rPr>
        <w:t xml:space="preserve">Frente a los riesgos de corrupción, </w:t>
      </w:r>
      <w:r>
        <w:rPr>
          <w:rFonts w:cs="Arial"/>
        </w:rPr>
        <w:t xml:space="preserve">el Instituto ha venido dando cumplimiento a los lineamientos establecidos </w:t>
      </w:r>
      <w:r w:rsidRPr="0059429A">
        <w:rPr>
          <w:rFonts w:cs="Arial"/>
        </w:rPr>
        <w:t>Ley 1474 de 2011</w:t>
      </w:r>
      <w:r>
        <w:rPr>
          <w:rFonts w:cs="Arial"/>
        </w:rPr>
        <w:t xml:space="preserve">, </w:t>
      </w:r>
      <w:r w:rsidRPr="0059429A">
        <w:rPr>
          <w:rFonts w:cs="Arial"/>
        </w:rPr>
        <w:t>el mapa de riesgos de corrupción</w:t>
      </w:r>
      <w:r>
        <w:rPr>
          <w:rFonts w:cs="Arial"/>
        </w:rPr>
        <w:t xml:space="preserve"> tiene documentado 13 riesgos de esta tipología; éste</w:t>
      </w:r>
      <w:r w:rsidRPr="0059429A">
        <w:rPr>
          <w:rFonts w:cs="Arial"/>
        </w:rPr>
        <w:t xml:space="preserve"> </w:t>
      </w:r>
      <w:r>
        <w:rPr>
          <w:rFonts w:cs="Arial"/>
        </w:rPr>
        <w:t xml:space="preserve">se encuentra publicado </w:t>
      </w:r>
      <w:r w:rsidRPr="0059429A">
        <w:rPr>
          <w:rFonts w:cs="Arial"/>
        </w:rPr>
        <w:t>en la página web</w:t>
      </w:r>
      <w:r>
        <w:rPr>
          <w:rFonts w:cs="Arial"/>
        </w:rPr>
        <w:t xml:space="preserve"> </w:t>
      </w:r>
      <w:r w:rsidR="008806BB">
        <w:rPr>
          <w:rFonts w:cs="Arial"/>
        </w:rPr>
        <w:t>a través de</w:t>
      </w:r>
      <w:r>
        <w:rPr>
          <w:rFonts w:cs="Arial"/>
        </w:rPr>
        <w:t xml:space="preserve">l link: </w:t>
      </w:r>
      <w:hyperlink r:id="rId8" w:history="1">
        <w:r>
          <w:rPr>
            <w:rStyle w:val="Hipervnculo"/>
          </w:rPr>
          <w:t>http://www.idep.edu.co/?q=content/mapa-de-riesgos-por-proceso</w:t>
        </w:r>
      </w:hyperlink>
      <w:r>
        <w:t xml:space="preserve"> </w:t>
      </w:r>
      <w:r w:rsidRPr="00875E9D">
        <w:rPr>
          <w:rFonts w:cs="Arial"/>
        </w:rPr>
        <w:t xml:space="preserve">y durante el periodo evaluado no se presentó ninguna materialización por esta tipología. </w:t>
      </w:r>
    </w:p>
    <w:p w14:paraId="7202C2B2" w14:textId="77777777" w:rsidR="003A2A93" w:rsidRPr="0059429A" w:rsidRDefault="003A2A93" w:rsidP="003A2A93">
      <w:pPr>
        <w:spacing w:after="0"/>
        <w:rPr>
          <w:rFonts w:cs="Arial"/>
        </w:rPr>
      </w:pPr>
    </w:p>
    <w:p w14:paraId="6EF423B8" w14:textId="77777777" w:rsidR="003A2A93" w:rsidRPr="0059429A" w:rsidRDefault="003A2A93" w:rsidP="003A2A93">
      <w:pPr>
        <w:spacing w:after="0"/>
        <w:rPr>
          <w:rFonts w:cs="Arial"/>
        </w:rPr>
      </w:pPr>
    </w:p>
    <w:p w14:paraId="270B29D4" w14:textId="77777777" w:rsidR="00A25C1D" w:rsidRDefault="00A25C1D" w:rsidP="005A09D8">
      <w:pPr>
        <w:spacing w:after="160" w:line="259" w:lineRule="auto"/>
        <w:jc w:val="left"/>
        <w:rPr>
          <w:rFonts w:cs="Arial"/>
          <w:b/>
          <w:bCs/>
        </w:rPr>
      </w:pPr>
    </w:p>
    <w:p w14:paraId="725077B7" w14:textId="77777777" w:rsidR="005A09D8" w:rsidRPr="005A09D8" w:rsidRDefault="005A09D8" w:rsidP="005A09D8">
      <w:pPr>
        <w:spacing w:after="160" w:line="259" w:lineRule="auto"/>
        <w:jc w:val="left"/>
        <w:rPr>
          <w:rFonts w:cs="Arial"/>
          <w:b/>
        </w:rPr>
      </w:pPr>
      <w:r w:rsidRPr="005A09D8">
        <w:rPr>
          <w:rFonts w:cs="Arial"/>
          <w:b/>
          <w:bCs/>
        </w:rPr>
        <w:lastRenderedPageBreak/>
        <w:t>5.2.</w:t>
      </w:r>
      <w:r>
        <w:rPr>
          <w:rFonts w:cs="Arial"/>
          <w:b/>
          <w:bCs/>
        </w:rPr>
        <w:t>2</w:t>
      </w:r>
      <w:r w:rsidRPr="005A09D8">
        <w:rPr>
          <w:rFonts w:cs="Arial"/>
          <w:b/>
          <w:bCs/>
        </w:rPr>
        <w:t xml:space="preserve">. </w:t>
      </w:r>
      <w:r>
        <w:rPr>
          <w:rFonts w:cs="Arial"/>
          <w:b/>
        </w:rPr>
        <w:t>Zona de Riesgo residual</w:t>
      </w:r>
      <w:r w:rsidRPr="005A09D8">
        <w:rPr>
          <w:rFonts w:cs="Arial"/>
          <w:b/>
        </w:rPr>
        <w:t>.</w:t>
      </w:r>
    </w:p>
    <w:p w14:paraId="140D8F2F" w14:textId="77777777" w:rsidR="005A09D8" w:rsidRDefault="005A09D8" w:rsidP="005A09D8">
      <w:pPr>
        <w:pStyle w:val="Sinespaciado"/>
        <w:rPr>
          <w:rFonts w:cs="Arial"/>
          <w:szCs w:val="24"/>
        </w:rPr>
      </w:pPr>
      <w:r w:rsidRPr="005A09D8">
        <w:rPr>
          <w:rFonts w:cs="Arial"/>
          <w:szCs w:val="24"/>
        </w:rPr>
        <w:t xml:space="preserve">El mapa de riesgos del Instituto está compuesto por 4 zonas de riesgo de conformidad con la </w:t>
      </w:r>
      <w:r w:rsidR="00F6562B">
        <w:rPr>
          <w:rFonts w:cs="Arial"/>
          <w:szCs w:val="24"/>
        </w:rPr>
        <w:t>p</w:t>
      </w:r>
      <w:r w:rsidRPr="005A09D8">
        <w:rPr>
          <w:rFonts w:cs="Arial"/>
          <w:szCs w:val="24"/>
        </w:rPr>
        <w:t>olítica de Administración</w:t>
      </w:r>
      <w:r w:rsidR="00F6562B">
        <w:rPr>
          <w:rFonts w:cs="Arial"/>
          <w:szCs w:val="24"/>
        </w:rPr>
        <w:t>,</w:t>
      </w:r>
      <w:r w:rsidRPr="005A09D8">
        <w:rPr>
          <w:rFonts w:cs="Arial"/>
          <w:szCs w:val="24"/>
        </w:rPr>
        <w:t xml:space="preserve"> se encuentran catalogadas como baja, moderada, alta y extrema</w:t>
      </w:r>
      <w:r w:rsidR="00E46B65">
        <w:rPr>
          <w:rFonts w:cs="Arial"/>
          <w:szCs w:val="24"/>
        </w:rPr>
        <w:t>, a continuación se muestra la distribución de los riesgos identificados.</w:t>
      </w:r>
    </w:p>
    <w:p w14:paraId="7CDDE72C" w14:textId="77777777" w:rsidR="000F727D" w:rsidRDefault="000F727D" w:rsidP="005A09D8">
      <w:pPr>
        <w:pStyle w:val="Sinespaciado"/>
        <w:rPr>
          <w:rFonts w:cs="Arial"/>
          <w:szCs w:val="24"/>
        </w:rPr>
      </w:pPr>
    </w:p>
    <w:p w14:paraId="6EEF2EF3" w14:textId="68E91EAE" w:rsidR="000F727D" w:rsidRDefault="000F727D" w:rsidP="005A09D8">
      <w:pPr>
        <w:pStyle w:val="Sinespaciado"/>
        <w:rPr>
          <w:rFonts w:cs="Arial"/>
          <w:szCs w:val="24"/>
        </w:rPr>
      </w:pPr>
      <w:r>
        <w:rPr>
          <w:noProof/>
          <w:lang w:val="es-ES" w:eastAsia="es-ES"/>
        </w:rPr>
        <w:drawing>
          <wp:inline distT="0" distB="0" distL="0" distR="0" wp14:anchorId="524AE389" wp14:editId="77566374">
            <wp:extent cx="5612130" cy="1867582"/>
            <wp:effectExtent l="0" t="0" r="7620" b="1841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73AC089" w14:textId="77777777" w:rsidR="00E46B65" w:rsidRDefault="00E46B65" w:rsidP="005A09D8">
      <w:pPr>
        <w:pStyle w:val="Sinespaciado"/>
        <w:rPr>
          <w:rFonts w:cs="Arial"/>
          <w:szCs w:val="24"/>
        </w:rPr>
      </w:pPr>
    </w:p>
    <w:p w14:paraId="53F92607" w14:textId="71CDFFB8" w:rsidR="00B620B6" w:rsidRDefault="00B620B6" w:rsidP="00CC176F">
      <w:pPr>
        <w:spacing w:after="0"/>
        <w:jc w:val="center"/>
        <w:rPr>
          <w:rFonts w:cs="Arial"/>
          <w:b/>
          <w:bCs/>
        </w:rPr>
      </w:pPr>
    </w:p>
    <w:p w14:paraId="270FB3E0" w14:textId="77777777" w:rsidR="00BC5629" w:rsidRDefault="00BC5629" w:rsidP="00053815">
      <w:pPr>
        <w:spacing w:after="0"/>
        <w:rPr>
          <w:rFonts w:cs="Arial"/>
          <w:b/>
          <w:bCs/>
        </w:rPr>
      </w:pPr>
    </w:p>
    <w:p w14:paraId="3BDE83E8" w14:textId="77777777" w:rsidR="009878E3" w:rsidRDefault="009878E3" w:rsidP="00A505A1">
      <w:pPr>
        <w:pStyle w:val="Ttulo4"/>
        <w:rPr>
          <w:rFonts w:ascii="Arial" w:hAnsi="Arial" w:cs="Arial"/>
          <w:bCs/>
          <w:i w:val="0"/>
          <w:color w:val="auto"/>
          <w:szCs w:val="24"/>
        </w:rPr>
      </w:pPr>
      <w:r w:rsidRPr="009878E3">
        <w:rPr>
          <w:rFonts w:ascii="Arial" w:hAnsi="Arial" w:cs="Arial"/>
          <w:b/>
          <w:i w:val="0"/>
          <w:color w:val="auto"/>
          <w:szCs w:val="24"/>
        </w:rPr>
        <w:t>5.2.3</w:t>
      </w:r>
      <w:r>
        <w:rPr>
          <w:rFonts w:ascii="Arial" w:hAnsi="Arial" w:cs="Arial"/>
          <w:bCs/>
          <w:i w:val="0"/>
          <w:color w:val="auto"/>
          <w:szCs w:val="24"/>
        </w:rPr>
        <w:t xml:space="preserve">. </w:t>
      </w:r>
      <w:r>
        <w:rPr>
          <w:rFonts w:ascii="Arial" w:hAnsi="Arial" w:cs="Arial"/>
          <w:b/>
          <w:i w:val="0"/>
          <w:color w:val="auto"/>
          <w:szCs w:val="24"/>
        </w:rPr>
        <w:t>Análisis de Riesgos y Controles.</w:t>
      </w:r>
    </w:p>
    <w:p w14:paraId="62773F9C" w14:textId="77777777" w:rsidR="009878E3" w:rsidRDefault="009878E3" w:rsidP="00A505A1">
      <w:pPr>
        <w:pStyle w:val="Ttulo4"/>
        <w:rPr>
          <w:rFonts w:ascii="Arial" w:hAnsi="Arial" w:cs="Arial"/>
          <w:bCs/>
          <w:i w:val="0"/>
          <w:color w:val="auto"/>
          <w:szCs w:val="24"/>
        </w:rPr>
      </w:pPr>
    </w:p>
    <w:p w14:paraId="13D025D5" w14:textId="77777777" w:rsidR="00A25C1D" w:rsidRDefault="00F6562B" w:rsidP="00A505A1">
      <w:pPr>
        <w:pStyle w:val="Ttulo4"/>
        <w:rPr>
          <w:rFonts w:ascii="Arial" w:hAnsi="Arial" w:cs="Arial"/>
          <w:bCs/>
          <w:i w:val="0"/>
          <w:color w:val="auto"/>
          <w:szCs w:val="24"/>
        </w:rPr>
      </w:pPr>
      <w:r>
        <w:rPr>
          <w:rFonts w:ascii="Arial" w:hAnsi="Arial" w:cs="Arial"/>
          <w:bCs/>
          <w:i w:val="0"/>
          <w:color w:val="auto"/>
          <w:szCs w:val="24"/>
        </w:rPr>
        <w:t xml:space="preserve">Del análisis efectuado a cada uno de los riesgos identificados por parte de los responsables de proceso, se puntualizan en este informe las siguientes observaciones, el detalle de cada riesgo se encuentra en la matriz de Excel publicada en </w:t>
      </w:r>
      <w:hyperlink r:id="rId10" w:anchor="overlay-context=" w:history="1">
        <w:r>
          <w:rPr>
            <w:rStyle w:val="Hipervnculo"/>
          </w:rPr>
          <w:t>http://www.idep.edu.co/?q=content/mapa-de-riesgos-por-proceso#overlay-context=</w:t>
        </w:r>
      </w:hyperlink>
      <w:r>
        <w:rPr>
          <w:rFonts w:ascii="Arial" w:hAnsi="Arial" w:cs="Arial"/>
          <w:bCs/>
          <w:i w:val="0"/>
          <w:color w:val="auto"/>
          <w:szCs w:val="24"/>
        </w:rPr>
        <w:t>:</w:t>
      </w:r>
    </w:p>
    <w:p w14:paraId="33480DE8" w14:textId="77777777" w:rsidR="00F6562B" w:rsidRDefault="00F6562B" w:rsidP="00F6562B"/>
    <w:p w14:paraId="6E4A5997" w14:textId="5A8AB91D" w:rsidR="00F6562B" w:rsidRPr="00F6562B" w:rsidRDefault="00F6562B" w:rsidP="00F6562B">
      <w:pPr>
        <w:rPr>
          <w:b/>
          <w:bCs/>
        </w:rPr>
      </w:pPr>
      <w:r>
        <w:rPr>
          <w:b/>
          <w:bCs/>
        </w:rPr>
        <w:t>5.2.</w:t>
      </w:r>
      <w:r w:rsidR="009878E3">
        <w:rPr>
          <w:b/>
          <w:bCs/>
        </w:rPr>
        <w:t xml:space="preserve">3.1.  </w:t>
      </w:r>
      <w:r w:rsidR="00A11B5E">
        <w:rPr>
          <w:b/>
          <w:bCs/>
        </w:rPr>
        <w:t>Proceso Gestión Contractual</w:t>
      </w:r>
    </w:p>
    <w:p w14:paraId="355BEDAB" w14:textId="62AA7E6B" w:rsidR="00F6562B" w:rsidRPr="00053815" w:rsidRDefault="00F6562B" w:rsidP="00F6562B">
      <w:r w:rsidRPr="00053815">
        <w:rPr>
          <w:b/>
          <w:bCs/>
        </w:rPr>
        <w:t>Riesgo</w:t>
      </w:r>
      <w:r w:rsidRPr="00053815">
        <w:t xml:space="preserve">: </w:t>
      </w:r>
      <w:r w:rsidR="003C776B" w:rsidRPr="00053815">
        <w:t>Declaratoria de desierta del proceso de selección</w:t>
      </w:r>
    </w:p>
    <w:p w14:paraId="049712E2" w14:textId="76E0FCC2" w:rsidR="003779F8" w:rsidRPr="00053815" w:rsidRDefault="003779F8" w:rsidP="00433A95">
      <w:pPr>
        <w:pStyle w:val="Sinespaciado"/>
        <w:rPr>
          <w:rFonts w:cs="Arial"/>
          <w:bCs/>
          <w:szCs w:val="24"/>
        </w:rPr>
      </w:pPr>
      <w:r w:rsidRPr="00053815">
        <w:rPr>
          <w:rFonts w:cs="Arial"/>
          <w:b/>
          <w:bCs/>
          <w:szCs w:val="24"/>
        </w:rPr>
        <w:t>Observación</w:t>
      </w:r>
      <w:r w:rsidRPr="00053815">
        <w:rPr>
          <w:b/>
          <w:bCs/>
        </w:rPr>
        <w:t>:</w:t>
      </w:r>
      <w:r w:rsidRPr="00053815">
        <w:rPr>
          <w:rFonts w:cs="Arial"/>
          <w:b/>
          <w:bCs/>
          <w:szCs w:val="24"/>
        </w:rPr>
        <w:t xml:space="preserve"> </w:t>
      </w:r>
      <w:r w:rsidRPr="00053815">
        <w:rPr>
          <w:rFonts w:cs="Arial"/>
          <w:bCs/>
          <w:szCs w:val="24"/>
        </w:rPr>
        <w:t>Se reporta materialización del riesgo</w:t>
      </w:r>
      <w:r w:rsidR="004F58A0" w:rsidRPr="00053815">
        <w:rPr>
          <w:rFonts w:cs="Arial"/>
          <w:bCs/>
          <w:szCs w:val="24"/>
        </w:rPr>
        <w:t xml:space="preserve"> por los responsables del proceso</w:t>
      </w:r>
      <w:r w:rsidRPr="00053815">
        <w:rPr>
          <w:rFonts w:cs="Arial"/>
          <w:bCs/>
          <w:szCs w:val="24"/>
        </w:rPr>
        <w:t xml:space="preserve"> en razón a que los oferentes que se presentaron no cumplieron con las especificaciones técn</w:t>
      </w:r>
      <w:r w:rsidR="004F58A0" w:rsidRPr="00053815">
        <w:rPr>
          <w:rFonts w:cs="Arial"/>
          <w:bCs/>
          <w:szCs w:val="24"/>
        </w:rPr>
        <w:t>icas exigidas para los procesos.</w:t>
      </w:r>
    </w:p>
    <w:p w14:paraId="69663E5D" w14:textId="77777777" w:rsidR="00FD18CF" w:rsidRPr="00053815" w:rsidRDefault="00FD18CF" w:rsidP="004F58A0">
      <w:pPr>
        <w:pStyle w:val="Sinespaciado"/>
        <w:rPr>
          <w:b/>
          <w:bCs/>
        </w:rPr>
      </w:pPr>
    </w:p>
    <w:p w14:paraId="5A67C297" w14:textId="71E70390" w:rsidR="003779F8" w:rsidRPr="00053815" w:rsidRDefault="00F6562B" w:rsidP="004F58A0">
      <w:pPr>
        <w:pStyle w:val="Sinespaciado"/>
        <w:rPr>
          <w:rFonts w:cs="Arial"/>
          <w:bCs/>
          <w:szCs w:val="24"/>
        </w:rPr>
      </w:pPr>
      <w:r w:rsidRPr="00053815">
        <w:rPr>
          <w:b/>
          <w:bCs/>
        </w:rPr>
        <w:t>Oportunidad de mejora</w:t>
      </w:r>
      <w:r w:rsidRPr="00053815">
        <w:t xml:space="preserve">: </w:t>
      </w:r>
      <w:r w:rsidR="004F58A0" w:rsidRPr="00053815">
        <w:rPr>
          <w:rFonts w:cs="Arial"/>
          <w:bCs/>
          <w:szCs w:val="24"/>
        </w:rPr>
        <w:t>se recomienda la revisión de los controles establecidos puesto que los mismos no son efectivos para disminuir el riesgo identificado y r</w:t>
      </w:r>
      <w:r w:rsidR="003779F8" w:rsidRPr="00053815">
        <w:t>ealizar acciones encaminadas a capacitar a los referentes técnicos en la estructuración de los estudios previos</w:t>
      </w:r>
      <w:r w:rsidR="00FD18CF" w:rsidRPr="00053815">
        <w:t>.</w:t>
      </w:r>
    </w:p>
    <w:p w14:paraId="570D6AFF" w14:textId="77777777" w:rsidR="004F58A0" w:rsidRPr="00053815" w:rsidRDefault="004F58A0" w:rsidP="00433A95">
      <w:pPr>
        <w:pStyle w:val="Sinespaciado"/>
        <w:rPr>
          <w:b/>
          <w:bCs/>
        </w:rPr>
      </w:pPr>
    </w:p>
    <w:p w14:paraId="29A313A4" w14:textId="77777777" w:rsidR="00053815" w:rsidRDefault="00053815" w:rsidP="00433A95">
      <w:pPr>
        <w:pStyle w:val="Sinespaciado"/>
        <w:rPr>
          <w:b/>
          <w:bCs/>
        </w:rPr>
      </w:pPr>
    </w:p>
    <w:p w14:paraId="4721DC38" w14:textId="77777777" w:rsidR="00433A95" w:rsidRPr="00053815" w:rsidRDefault="00433A95" w:rsidP="00433A95">
      <w:pPr>
        <w:pStyle w:val="Sinespaciado"/>
      </w:pPr>
      <w:r w:rsidRPr="00053815">
        <w:rPr>
          <w:b/>
          <w:bCs/>
        </w:rPr>
        <w:lastRenderedPageBreak/>
        <w:t>Riesgo:</w:t>
      </w:r>
      <w:r w:rsidRPr="00053815">
        <w:t xml:space="preserve"> Inadecuada formulación y elaboración del Plan Anual de adquisiciones</w:t>
      </w:r>
    </w:p>
    <w:p w14:paraId="70354D85" w14:textId="77777777" w:rsidR="00053815" w:rsidRDefault="00053815" w:rsidP="00433A95">
      <w:pPr>
        <w:spacing w:after="160" w:line="259" w:lineRule="auto"/>
        <w:rPr>
          <w:b/>
          <w:bCs/>
        </w:rPr>
      </w:pPr>
    </w:p>
    <w:p w14:paraId="1E418B12" w14:textId="0ACFA7BB" w:rsidR="00DB6C51" w:rsidRPr="00053815" w:rsidRDefault="00433A95" w:rsidP="00433A95">
      <w:pPr>
        <w:spacing w:after="160" w:line="259" w:lineRule="auto"/>
        <w:rPr>
          <w:b/>
          <w:bCs/>
        </w:rPr>
      </w:pPr>
      <w:r w:rsidRPr="00053815">
        <w:rPr>
          <w:b/>
          <w:bCs/>
        </w:rPr>
        <w:t>Oportunidad de mejora:</w:t>
      </w:r>
      <w:r w:rsidRPr="00053815">
        <w:t xml:space="preserve"> </w:t>
      </w:r>
      <w:r w:rsidRPr="00053815">
        <w:rPr>
          <w:bCs/>
        </w:rPr>
        <w:t xml:space="preserve">Se recomienda por parte de esta Oficina la revisión de los controles implementados, toda vez que hasta la fecha de seguimiento se han realizado 8 modificaciones de 29 que se han realizado durante el 2020 al Plan Anual de Adquisiciones, de tal manera que se propenda por la efectividad del mismo  y permita mitigar oportunamente el riesgo identificado. Así mismo es importante documentar controles asociados a la adecuada ejecución del PAA dentro de la revisión. </w:t>
      </w:r>
    </w:p>
    <w:p w14:paraId="304DA7E5" w14:textId="77777777" w:rsidR="004F58A0" w:rsidRPr="00053815" w:rsidRDefault="004F58A0" w:rsidP="00433A95">
      <w:pPr>
        <w:rPr>
          <w:b/>
          <w:bCs/>
        </w:rPr>
      </w:pPr>
    </w:p>
    <w:p w14:paraId="7EB650D1" w14:textId="3258BA05" w:rsidR="00F6562B" w:rsidRPr="00053815" w:rsidRDefault="00266263" w:rsidP="00433A95">
      <w:pPr>
        <w:rPr>
          <w:b/>
          <w:bCs/>
        </w:rPr>
      </w:pPr>
      <w:r w:rsidRPr="00053815">
        <w:rPr>
          <w:b/>
          <w:bCs/>
        </w:rPr>
        <w:t>5.2.</w:t>
      </w:r>
      <w:r w:rsidR="009878E3" w:rsidRPr="00053815">
        <w:rPr>
          <w:b/>
          <w:bCs/>
        </w:rPr>
        <w:t>3</w:t>
      </w:r>
      <w:r w:rsidRPr="00053815">
        <w:rPr>
          <w:b/>
          <w:bCs/>
        </w:rPr>
        <w:t>.</w:t>
      </w:r>
      <w:r w:rsidR="009878E3" w:rsidRPr="00053815">
        <w:rPr>
          <w:b/>
          <w:bCs/>
        </w:rPr>
        <w:t>2</w:t>
      </w:r>
      <w:r w:rsidRPr="00053815">
        <w:rPr>
          <w:b/>
          <w:bCs/>
        </w:rPr>
        <w:t>.</w:t>
      </w:r>
      <w:r w:rsidR="004E6F6F" w:rsidRPr="00053815">
        <w:rPr>
          <w:b/>
          <w:bCs/>
        </w:rPr>
        <w:t xml:space="preserve"> Proceso Gestión Talento Humano</w:t>
      </w:r>
    </w:p>
    <w:p w14:paraId="334756BD" w14:textId="4A306409" w:rsidR="00266263" w:rsidRPr="00053815" w:rsidRDefault="00266263" w:rsidP="00433A95">
      <w:pPr>
        <w:pStyle w:val="Sinespaciado"/>
        <w:rPr>
          <w:rFonts w:cs="Arial"/>
          <w:szCs w:val="24"/>
        </w:rPr>
      </w:pPr>
      <w:r w:rsidRPr="00053815">
        <w:rPr>
          <w:rFonts w:cs="Arial"/>
          <w:b/>
          <w:bCs/>
          <w:szCs w:val="24"/>
        </w:rPr>
        <w:t xml:space="preserve">Riesgo: </w:t>
      </w:r>
      <w:r w:rsidR="004E6F6F" w:rsidRPr="00053815">
        <w:rPr>
          <w:rFonts w:cs="Arial"/>
          <w:bCs/>
          <w:szCs w:val="24"/>
        </w:rPr>
        <w:t>Incumplimiento de los requisitos de Ley y procedimientos para la vinculación, permanencia y retiro del personal.</w:t>
      </w:r>
    </w:p>
    <w:p w14:paraId="546E368F" w14:textId="77777777" w:rsidR="00625EE1" w:rsidRPr="00053815" w:rsidRDefault="00625EE1" w:rsidP="009878E3">
      <w:pPr>
        <w:pStyle w:val="Sinespaciado"/>
        <w:rPr>
          <w:rFonts w:cs="Arial"/>
          <w:b/>
          <w:bCs/>
          <w:szCs w:val="24"/>
        </w:rPr>
      </w:pPr>
    </w:p>
    <w:p w14:paraId="5016FFF9" w14:textId="05EE1864" w:rsidR="003779F8" w:rsidRPr="00053815" w:rsidRDefault="003779F8" w:rsidP="009878E3">
      <w:pPr>
        <w:pStyle w:val="Sinespaciado"/>
        <w:rPr>
          <w:rFonts w:cs="Arial"/>
          <w:b/>
          <w:bCs/>
          <w:szCs w:val="24"/>
        </w:rPr>
      </w:pPr>
      <w:r w:rsidRPr="00053815">
        <w:rPr>
          <w:rFonts w:cs="Arial"/>
          <w:b/>
          <w:bCs/>
          <w:szCs w:val="24"/>
        </w:rPr>
        <w:t>Observación</w:t>
      </w:r>
      <w:r w:rsidRPr="00053815">
        <w:rPr>
          <w:b/>
          <w:bCs/>
        </w:rPr>
        <w:t>:</w:t>
      </w:r>
      <w:r w:rsidRPr="00053815">
        <w:rPr>
          <w:rFonts w:cs="Arial"/>
          <w:b/>
          <w:bCs/>
          <w:szCs w:val="24"/>
        </w:rPr>
        <w:t xml:space="preserve"> </w:t>
      </w:r>
      <w:r w:rsidR="004F58A0" w:rsidRPr="00053815">
        <w:rPr>
          <w:rFonts w:cs="Arial"/>
          <w:bCs/>
          <w:szCs w:val="24"/>
        </w:rPr>
        <w:t>Con base en los resulta</w:t>
      </w:r>
      <w:r w:rsidR="009978BC" w:rsidRPr="00053815">
        <w:rPr>
          <w:rFonts w:cs="Arial"/>
          <w:bCs/>
          <w:szCs w:val="24"/>
        </w:rPr>
        <w:t>dos de la auditoría interna</w:t>
      </w:r>
      <w:r w:rsidR="004F58A0" w:rsidRPr="00053815">
        <w:rPr>
          <w:rFonts w:cs="Arial"/>
          <w:bCs/>
          <w:szCs w:val="24"/>
        </w:rPr>
        <w:t xml:space="preserve"> al proceso de Gestión de Talento Humano </w:t>
      </w:r>
      <w:r w:rsidR="009978BC" w:rsidRPr="00053815">
        <w:rPr>
          <w:rFonts w:cs="Arial"/>
          <w:bCs/>
          <w:szCs w:val="24"/>
        </w:rPr>
        <w:t>en el año 2020</w:t>
      </w:r>
      <w:r w:rsidR="004F58A0" w:rsidRPr="00053815">
        <w:rPr>
          <w:rFonts w:cs="Arial"/>
          <w:bCs/>
          <w:szCs w:val="24"/>
        </w:rPr>
        <w:t xml:space="preserve"> se materializó el riesgo: </w:t>
      </w:r>
      <w:r w:rsidR="004F58A0" w:rsidRPr="00053815">
        <w:rPr>
          <w:rFonts w:cs="Arial"/>
          <w:bCs/>
          <w:i/>
          <w:szCs w:val="24"/>
        </w:rPr>
        <w:t>“Incumplimiento de los requisitos de Ley y procedimientos para la vinculación, permanencia y retiro del personal”,</w:t>
      </w:r>
      <w:r w:rsidR="004F58A0" w:rsidRPr="00053815">
        <w:rPr>
          <w:rFonts w:cs="Arial"/>
          <w:bCs/>
          <w:szCs w:val="24"/>
        </w:rPr>
        <w:t xml:space="preserve"> en razón al incumplimiento de s</w:t>
      </w:r>
      <w:r w:rsidR="009978BC" w:rsidRPr="00053815">
        <w:rPr>
          <w:rFonts w:cs="Arial"/>
          <w:bCs/>
          <w:szCs w:val="24"/>
        </w:rPr>
        <w:t xml:space="preserve">oportes documentales puntuales </w:t>
      </w:r>
      <w:r w:rsidR="004F58A0" w:rsidRPr="00053815">
        <w:rPr>
          <w:rFonts w:cs="Arial"/>
          <w:bCs/>
          <w:szCs w:val="24"/>
        </w:rPr>
        <w:t>revisados en los expedi</w:t>
      </w:r>
      <w:r w:rsidR="009978BC" w:rsidRPr="00053815">
        <w:rPr>
          <w:rFonts w:cs="Arial"/>
          <w:bCs/>
          <w:szCs w:val="24"/>
        </w:rPr>
        <w:t>entes de la muestra</w:t>
      </w:r>
      <w:r w:rsidR="004F58A0" w:rsidRPr="00053815">
        <w:rPr>
          <w:rFonts w:cs="Arial"/>
          <w:bCs/>
          <w:szCs w:val="24"/>
        </w:rPr>
        <w:t xml:space="preserve">, </w:t>
      </w:r>
      <w:r w:rsidR="009978BC" w:rsidRPr="00053815">
        <w:rPr>
          <w:rFonts w:cs="Arial"/>
          <w:bCs/>
          <w:szCs w:val="24"/>
        </w:rPr>
        <w:t xml:space="preserve"> error que fue subsanado</w:t>
      </w:r>
      <w:r w:rsidR="004F58A0" w:rsidRPr="00053815">
        <w:rPr>
          <w:rFonts w:cs="Arial"/>
          <w:bCs/>
          <w:szCs w:val="24"/>
        </w:rPr>
        <w:t xml:space="preserve"> por cuanto actualizaron los documentos faltantes dentro de las carpetas revisadas en la auditoria</w:t>
      </w:r>
      <w:r w:rsidR="004F58A0" w:rsidRPr="00053815">
        <w:rPr>
          <w:rFonts w:cs="Arial"/>
          <w:b/>
          <w:bCs/>
          <w:szCs w:val="24"/>
        </w:rPr>
        <w:t>.</w:t>
      </w:r>
    </w:p>
    <w:p w14:paraId="47EBEA71" w14:textId="77777777" w:rsidR="00053815" w:rsidRDefault="00053815" w:rsidP="009878E3">
      <w:pPr>
        <w:pStyle w:val="Sinespaciado"/>
        <w:rPr>
          <w:rFonts w:cs="Arial"/>
          <w:b/>
          <w:bCs/>
          <w:szCs w:val="24"/>
        </w:rPr>
      </w:pPr>
    </w:p>
    <w:p w14:paraId="2EA2F742" w14:textId="6FEB8C75" w:rsidR="00872EA4" w:rsidRPr="00053815" w:rsidRDefault="00266263" w:rsidP="009878E3">
      <w:pPr>
        <w:pStyle w:val="Sinespaciado"/>
        <w:rPr>
          <w:rFonts w:cs="Arial"/>
          <w:bCs/>
          <w:szCs w:val="24"/>
        </w:rPr>
      </w:pPr>
      <w:r w:rsidRPr="00053815">
        <w:rPr>
          <w:rFonts w:cs="Arial"/>
          <w:b/>
          <w:bCs/>
          <w:szCs w:val="24"/>
        </w:rPr>
        <w:t>Oportunidad de mejora</w:t>
      </w:r>
      <w:r w:rsidRPr="00053815">
        <w:rPr>
          <w:rFonts w:cs="Arial"/>
          <w:szCs w:val="24"/>
        </w:rPr>
        <w:t>:</w:t>
      </w:r>
      <w:r w:rsidR="00625EE1" w:rsidRPr="00053815">
        <w:rPr>
          <w:rFonts w:cs="Arial"/>
          <w:szCs w:val="24"/>
        </w:rPr>
        <w:t xml:space="preserve"> </w:t>
      </w:r>
      <w:r w:rsidR="00872EA4" w:rsidRPr="00053815">
        <w:rPr>
          <w:rFonts w:cs="Arial"/>
          <w:bCs/>
          <w:szCs w:val="24"/>
        </w:rPr>
        <w:t>Se recomienda revisar</w:t>
      </w:r>
      <w:r w:rsidR="009978BC" w:rsidRPr="00053815">
        <w:rPr>
          <w:rFonts w:cs="Arial"/>
          <w:bCs/>
          <w:szCs w:val="24"/>
        </w:rPr>
        <w:t xml:space="preserve"> l</w:t>
      </w:r>
      <w:r w:rsidR="002C4BC6" w:rsidRPr="00053815">
        <w:rPr>
          <w:rFonts w:cs="Arial"/>
          <w:bCs/>
          <w:szCs w:val="24"/>
        </w:rPr>
        <w:t xml:space="preserve">a efectividad de los </w:t>
      </w:r>
      <w:r w:rsidR="00872EA4" w:rsidRPr="00053815">
        <w:rPr>
          <w:rFonts w:cs="Arial"/>
          <w:bCs/>
          <w:szCs w:val="24"/>
        </w:rPr>
        <w:t>co</w:t>
      </w:r>
      <w:r w:rsidR="009978BC" w:rsidRPr="00053815">
        <w:rPr>
          <w:rFonts w:cs="Arial"/>
          <w:bCs/>
          <w:szCs w:val="24"/>
        </w:rPr>
        <w:t>ntroles</w:t>
      </w:r>
      <w:r w:rsidR="000108A4" w:rsidRPr="00053815">
        <w:rPr>
          <w:rFonts w:cs="Arial"/>
          <w:bCs/>
          <w:szCs w:val="24"/>
        </w:rPr>
        <w:t xml:space="preserve"> </w:t>
      </w:r>
      <w:r w:rsidR="009978BC" w:rsidRPr="00053815">
        <w:rPr>
          <w:rFonts w:cs="Arial"/>
          <w:bCs/>
          <w:szCs w:val="24"/>
        </w:rPr>
        <w:t xml:space="preserve">establecidos en razón a que los mismos no son efectivos para mitigar el riesgo </w:t>
      </w:r>
      <w:r w:rsidR="000108A4" w:rsidRPr="00053815">
        <w:rPr>
          <w:rFonts w:cs="Arial"/>
          <w:bCs/>
          <w:szCs w:val="24"/>
        </w:rPr>
        <w:t xml:space="preserve">y </w:t>
      </w:r>
      <w:r w:rsidR="00872EA4" w:rsidRPr="00053815">
        <w:rPr>
          <w:rFonts w:cs="Arial"/>
          <w:bCs/>
          <w:szCs w:val="24"/>
        </w:rPr>
        <w:t>generar una acción que fortalezca y asegure m</w:t>
      </w:r>
      <w:r w:rsidR="009978BC" w:rsidRPr="00053815">
        <w:rPr>
          <w:rFonts w:cs="Arial"/>
          <w:bCs/>
          <w:szCs w:val="24"/>
        </w:rPr>
        <w:t>antener actualizadas la documentación de las</w:t>
      </w:r>
      <w:r w:rsidR="00872EA4" w:rsidRPr="00053815">
        <w:rPr>
          <w:rFonts w:cs="Arial"/>
          <w:bCs/>
          <w:szCs w:val="24"/>
        </w:rPr>
        <w:t xml:space="preserve"> carpetas de cada uno de los funcionarios</w:t>
      </w:r>
      <w:r w:rsidR="002165E0" w:rsidRPr="00053815">
        <w:rPr>
          <w:rFonts w:cs="Arial"/>
          <w:bCs/>
          <w:szCs w:val="24"/>
        </w:rPr>
        <w:t xml:space="preserve"> y ex funcionarios</w:t>
      </w:r>
      <w:r w:rsidR="009978BC" w:rsidRPr="00053815">
        <w:rPr>
          <w:rFonts w:cs="Arial"/>
          <w:bCs/>
          <w:szCs w:val="24"/>
        </w:rPr>
        <w:t xml:space="preserve"> de la Entidad</w:t>
      </w:r>
      <w:r w:rsidR="002165E0" w:rsidRPr="00053815">
        <w:rPr>
          <w:rFonts w:cs="Arial"/>
          <w:bCs/>
          <w:szCs w:val="24"/>
        </w:rPr>
        <w:t>.</w:t>
      </w:r>
      <w:r w:rsidR="00872EA4" w:rsidRPr="00053815">
        <w:rPr>
          <w:rFonts w:cs="Arial"/>
          <w:bCs/>
          <w:szCs w:val="24"/>
        </w:rPr>
        <w:t xml:space="preserve"> </w:t>
      </w:r>
    </w:p>
    <w:p w14:paraId="3D685233" w14:textId="77777777" w:rsidR="000A5EB2" w:rsidRPr="00053815" w:rsidRDefault="000A5EB2" w:rsidP="009878E3">
      <w:pPr>
        <w:pStyle w:val="Sinespaciado"/>
        <w:rPr>
          <w:rFonts w:cs="Arial"/>
          <w:bCs/>
          <w:szCs w:val="24"/>
        </w:rPr>
      </w:pPr>
    </w:p>
    <w:p w14:paraId="310AC3C6" w14:textId="77777777" w:rsidR="000A5EB2" w:rsidRPr="00053815" w:rsidRDefault="000A5EB2" w:rsidP="000A5EB2">
      <w:pPr>
        <w:pStyle w:val="Sinespaciado"/>
        <w:rPr>
          <w:b/>
          <w:bCs/>
        </w:rPr>
      </w:pPr>
    </w:p>
    <w:p w14:paraId="66038C32" w14:textId="77777777" w:rsidR="000A5EB2" w:rsidRPr="00053815" w:rsidRDefault="000A5EB2" w:rsidP="000A5EB2">
      <w:pPr>
        <w:pStyle w:val="Sinespaciado"/>
        <w:rPr>
          <w:bCs/>
        </w:rPr>
      </w:pPr>
      <w:r w:rsidRPr="00053815">
        <w:rPr>
          <w:b/>
          <w:bCs/>
        </w:rPr>
        <w:t xml:space="preserve">Riesgo: </w:t>
      </w:r>
      <w:r w:rsidRPr="00053815">
        <w:rPr>
          <w:bCs/>
        </w:rPr>
        <w:t>Inexactitud e inoportunidad en la liquidación de salarios, prestaciones sociales,  aportes  parafiscales y seguridad social</w:t>
      </w:r>
    </w:p>
    <w:p w14:paraId="2ECE240A" w14:textId="77777777" w:rsidR="009978BC" w:rsidRPr="00053815" w:rsidRDefault="009978BC" w:rsidP="000A5EB2">
      <w:pPr>
        <w:pStyle w:val="Sinespaciado"/>
      </w:pPr>
    </w:p>
    <w:p w14:paraId="3126599E" w14:textId="70FB2970" w:rsidR="000A5EB2" w:rsidRPr="00053815" w:rsidRDefault="009978BC" w:rsidP="000A5EB2">
      <w:pPr>
        <w:pStyle w:val="Sinespaciado"/>
        <w:rPr>
          <w:bCs/>
        </w:rPr>
      </w:pPr>
      <w:r w:rsidRPr="00053815">
        <w:rPr>
          <w:b/>
          <w:bCs/>
        </w:rPr>
        <w:t xml:space="preserve">Observación: </w:t>
      </w:r>
      <w:r w:rsidRPr="00053815">
        <w:rPr>
          <w:bCs/>
        </w:rPr>
        <w:t>De acuerdo a los resultados de la auditoría interna al proceso de Gestión de Talento Humano</w:t>
      </w:r>
      <w:r w:rsidR="00EB1473" w:rsidRPr="00053815">
        <w:rPr>
          <w:bCs/>
        </w:rPr>
        <w:t xml:space="preserve"> del año 2020</w:t>
      </w:r>
      <w:r w:rsidRPr="00053815">
        <w:rPr>
          <w:bCs/>
        </w:rPr>
        <w:t xml:space="preserve"> </w:t>
      </w:r>
      <w:r w:rsidRPr="00053815">
        <w:rPr>
          <w:b/>
          <w:bCs/>
        </w:rPr>
        <w:t>se</w:t>
      </w:r>
      <w:r w:rsidR="005147D8" w:rsidRPr="00053815">
        <w:rPr>
          <w:b/>
          <w:bCs/>
        </w:rPr>
        <w:t xml:space="preserve"> evidencia materialización d</w:t>
      </w:r>
      <w:r w:rsidRPr="00053815">
        <w:rPr>
          <w:b/>
          <w:bCs/>
        </w:rPr>
        <w:t>el riesgo</w:t>
      </w:r>
      <w:r w:rsidRPr="00053815">
        <w:rPr>
          <w:bCs/>
        </w:rPr>
        <w:t xml:space="preserve">: </w:t>
      </w:r>
      <w:r w:rsidRPr="00053815">
        <w:rPr>
          <w:bCs/>
          <w:i/>
        </w:rPr>
        <w:t>“Inexactitud e inoportunidad  en la liquidación de salarios, prestaciones sociales,  aportes  parafiscales y seguridad social”,</w:t>
      </w:r>
      <w:r w:rsidRPr="00053815">
        <w:rPr>
          <w:bCs/>
        </w:rPr>
        <w:t xml:space="preserve"> en cuanto a la liquidación de incapacidad de un funcionario, como lo describe el informe respectivo de auditoría interna d</w:t>
      </w:r>
      <w:r w:rsidR="00EB1473" w:rsidRPr="00053815">
        <w:rPr>
          <w:bCs/>
        </w:rPr>
        <w:t>e Gestión de talento humano</w:t>
      </w:r>
      <w:r w:rsidRPr="00053815">
        <w:rPr>
          <w:bCs/>
        </w:rPr>
        <w:t>.</w:t>
      </w:r>
    </w:p>
    <w:p w14:paraId="269CA34B" w14:textId="77777777" w:rsidR="00EB1473" w:rsidRPr="00053815" w:rsidRDefault="00EB1473" w:rsidP="000A5EB2">
      <w:pPr>
        <w:pStyle w:val="Sinespaciado"/>
        <w:rPr>
          <w:bCs/>
        </w:rPr>
      </w:pPr>
    </w:p>
    <w:p w14:paraId="2748DB1E" w14:textId="77777777" w:rsidR="000A5EB2" w:rsidRPr="00053815" w:rsidRDefault="000A5EB2" w:rsidP="000A5EB2">
      <w:pPr>
        <w:overflowPunct w:val="0"/>
        <w:autoSpaceDE w:val="0"/>
        <w:autoSpaceDN w:val="0"/>
        <w:adjustRightInd w:val="0"/>
        <w:spacing w:after="120"/>
        <w:textAlignment w:val="baseline"/>
        <w:rPr>
          <w:bCs/>
        </w:rPr>
      </w:pPr>
      <w:r w:rsidRPr="00053815">
        <w:rPr>
          <w:b/>
          <w:bCs/>
        </w:rPr>
        <w:lastRenderedPageBreak/>
        <w:t xml:space="preserve">Oportunidad de mejora: </w:t>
      </w:r>
      <w:r w:rsidRPr="00053815">
        <w:rPr>
          <w:bCs/>
        </w:rPr>
        <w:t>Se recomienda revisar la formulación y valoración de los controles  y registrar todos aquellos eventos con los que puedan verse afectados de manera significativa los procedimientos de liquidación y pago de la nómina y seguridad social de la entidad, para efectos de implementar controles que mitiguen el impacto o la probabilidad de estas contingencias.</w:t>
      </w:r>
    </w:p>
    <w:p w14:paraId="19F566C8" w14:textId="77777777" w:rsidR="00053815" w:rsidRDefault="00053815" w:rsidP="00C333C6">
      <w:pPr>
        <w:pStyle w:val="Sinespaciado"/>
        <w:rPr>
          <w:b/>
          <w:bCs/>
        </w:rPr>
      </w:pPr>
    </w:p>
    <w:p w14:paraId="101C8EC2" w14:textId="77777777" w:rsidR="00C333C6" w:rsidRPr="00053815" w:rsidRDefault="00C333C6" w:rsidP="00C333C6">
      <w:pPr>
        <w:pStyle w:val="Sinespaciado"/>
      </w:pPr>
      <w:r w:rsidRPr="00053815">
        <w:rPr>
          <w:b/>
          <w:bCs/>
        </w:rPr>
        <w:t xml:space="preserve">Riesgo: </w:t>
      </w:r>
      <w:r w:rsidRPr="00053815">
        <w:t>Incumplimiento de los planes y programas de inducción, reinducción, bienestar y capacitación</w:t>
      </w:r>
    </w:p>
    <w:p w14:paraId="34007D6F" w14:textId="77777777" w:rsidR="00C333C6" w:rsidRPr="00053815" w:rsidRDefault="00C333C6" w:rsidP="00C333C6">
      <w:pPr>
        <w:pStyle w:val="Sinespaciado"/>
        <w:rPr>
          <w:b/>
          <w:bCs/>
        </w:rPr>
      </w:pPr>
    </w:p>
    <w:p w14:paraId="329D6F5D" w14:textId="3A9BFCE8" w:rsidR="00C333C6" w:rsidRPr="00053815" w:rsidRDefault="00C333C6" w:rsidP="00C333C6">
      <w:pPr>
        <w:pStyle w:val="Sinespaciado"/>
        <w:rPr>
          <w:b/>
          <w:bCs/>
        </w:rPr>
      </w:pPr>
      <w:r w:rsidRPr="00053815">
        <w:rPr>
          <w:b/>
          <w:bCs/>
        </w:rPr>
        <w:t xml:space="preserve">Oportunidad de mejora: </w:t>
      </w:r>
      <w:r w:rsidRPr="00053815">
        <w:t xml:space="preserve">Se recomienda </w:t>
      </w:r>
      <w:r w:rsidR="00245A46" w:rsidRPr="00053815">
        <w:t xml:space="preserve">incluir dentro de los planes de capacitación </w:t>
      </w:r>
      <w:r w:rsidRPr="00053815">
        <w:t>jornadas de reinducción y realizar la inducci</w:t>
      </w:r>
      <w:r w:rsidR="00053815">
        <w:t>ón sin</w:t>
      </w:r>
      <w:r w:rsidRPr="00053815">
        <w:t xml:space="preserve"> superar los 4 meses siguientes a su vinculación como lo determina la norma aplicable y como lo detalla el informe de auditoría interna al proceso</w:t>
      </w:r>
      <w:r w:rsidR="00053815">
        <w:t xml:space="preserve"> de Gestión de Talento Humano</w:t>
      </w:r>
      <w:r w:rsidRPr="00053815">
        <w:t xml:space="preserve"> 2020.</w:t>
      </w:r>
    </w:p>
    <w:p w14:paraId="5490492B" w14:textId="77777777" w:rsidR="00FD18CF" w:rsidRPr="00053815" w:rsidRDefault="00FD18CF" w:rsidP="009878E3">
      <w:pPr>
        <w:pStyle w:val="Sinespaciado"/>
        <w:rPr>
          <w:b/>
          <w:bCs/>
        </w:rPr>
      </w:pPr>
    </w:p>
    <w:p w14:paraId="7674B4E2" w14:textId="77777777" w:rsidR="00053815" w:rsidRDefault="00053815" w:rsidP="009878E3">
      <w:pPr>
        <w:pStyle w:val="Sinespaciado"/>
        <w:rPr>
          <w:rFonts w:cs="Arial"/>
          <w:b/>
          <w:szCs w:val="24"/>
        </w:rPr>
      </w:pPr>
    </w:p>
    <w:p w14:paraId="05054D6A" w14:textId="0CB47288" w:rsidR="000A5EB2" w:rsidRPr="00053815" w:rsidRDefault="00DB6C51" w:rsidP="009878E3">
      <w:pPr>
        <w:pStyle w:val="Sinespaciado"/>
        <w:rPr>
          <w:rFonts w:cs="Arial"/>
          <w:szCs w:val="24"/>
        </w:rPr>
      </w:pPr>
      <w:r w:rsidRPr="00053815">
        <w:rPr>
          <w:rFonts w:cs="Arial"/>
          <w:b/>
          <w:szCs w:val="24"/>
        </w:rPr>
        <w:t>Riesgo</w:t>
      </w:r>
      <w:r w:rsidRPr="00053815">
        <w:rPr>
          <w:b/>
          <w:bCs/>
        </w:rPr>
        <w:t>:</w:t>
      </w:r>
      <w:r w:rsidR="000A5EB2" w:rsidRPr="00053815">
        <w:rPr>
          <w:rFonts w:cs="Arial"/>
          <w:szCs w:val="24"/>
        </w:rPr>
        <w:t xml:space="preserve"> Pérdida de documentos soportes de las hojas de vida de los servidores públicos</w:t>
      </w:r>
    </w:p>
    <w:p w14:paraId="0C78CF70" w14:textId="77777777" w:rsidR="000A5EB2" w:rsidRPr="00053815" w:rsidRDefault="000A5EB2" w:rsidP="009878E3">
      <w:pPr>
        <w:pStyle w:val="Sinespaciado"/>
        <w:rPr>
          <w:rFonts w:cs="Arial"/>
          <w:szCs w:val="24"/>
        </w:rPr>
      </w:pPr>
    </w:p>
    <w:p w14:paraId="11BAB1B7" w14:textId="322FE35C" w:rsidR="000A5EB2" w:rsidRPr="00053815" w:rsidRDefault="00DB6C51" w:rsidP="009878E3">
      <w:pPr>
        <w:pStyle w:val="Sinespaciado"/>
        <w:rPr>
          <w:rFonts w:cs="Arial"/>
          <w:szCs w:val="24"/>
        </w:rPr>
      </w:pPr>
      <w:r w:rsidRPr="00053815">
        <w:rPr>
          <w:rFonts w:cs="Arial"/>
          <w:b/>
          <w:szCs w:val="24"/>
        </w:rPr>
        <w:t>Oportunidad de mejora</w:t>
      </w:r>
      <w:r w:rsidRPr="00053815">
        <w:rPr>
          <w:b/>
          <w:bCs/>
        </w:rPr>
        <w:t>:</w:t>
      </w:r>
      <w:r w:rsidR="000A5EB2" w:rsidRPr="00053815">
        <w:rPr>
          <w:rFonts w:cs="Arial"/>
          <w:b/>
          <w:szCs w:val="24"/>
        </w:rPr>
        <w:t xml:space="preserve"> </w:t>
      </w:r>
      <w:r w:rsidRPr="00053815">
        <w:rPr>
          <w:rFonts w:cs="Arial"/>
          <w:szCs w:val="24"/>
        </w:rPr>
        <w:t>Se recomienda articular este riesgo con "Pérdida parcial o total de información por catástrofe natural, mala manipulación y/o provocada en el archivo central" ya que el fin del riesgo es prevenir la pérdida de documentación.</w:t>
      </w:r>
    </w:p>
    <w:p w14:paraId="2E25F646" w14:textId="77777777" w:rsidR="009878E3" w:rsidRPr="00053815" w:rsidRDefault="009878E3" w:rsidP="009878E3">
      <w:pPr>
        <w:pStyle w:val="Sinespaciado"/>
        <w:rPr>
          <w:rFonts w:cs="Arial"/>
          <w:b/>
          <w:bCs/>
          <w:szCs w:val="24"/>
        </w:rPr>
      </w:pPr>
    </w:p>
    <w:p w14:paraId="79DC36E1" w14:textId="77777777" w:rsidR="003779F8" w:rsidRPr="00053815" w:rsidRDefault="003779F8" w:rsidP="000A5EB2">
      <w:pPr>
        <w:rPr>
          <w:b/>
          <w:bCs/>
        </w:rPr>
      </w:pPr>
    </w:p>
    <w:p w14:paraId="710A689C" w14:textId="01D3D089" w:rsidR="000A5EB2" w:rsidRPr="00053815" w:rsidRDefault="00266263" w:rsidP="000A5EB2">
      <w:pPr>
        <w:rPr>
          <w:b/>
          <w:bCs/>
        </w:rPr>
      </w:pPr>
      <w:r w:rsidRPr="00053815">
        <w:rPr>
          <w:b/>
          <w:bCs/>
        </w:rPr>
        <w:t>5.2.</w:t>
      </w:r>
      <w:r w:rsidR="009878E3" w:rsidRPr="00053815">
        <w:rPr>
          <w:b/>
          <w:bCs/>
        </w:rPr>
        <w:t>3</w:t>
      </w:r>
      <w:r w:rsidRPr="00053815">
        <w:rPr>
          <w:b/>
          <w:bCs/>
        </w:rPr>
        <w:t>.</w:t>
      </w:r>
      <w:r w:rsidR="009878E3" w:rsidRPr="00053815">
        <w:rPr>
          <w:b/>
          <w:bCs/>
        </w:rPr>
        <w:t>3</w:t>
      </w:r>
      <w:r w:rsidRPr="00053815">
        <w:rPr>
          <w:b/>
          <w:bCs/>
        </w:rPr>
        <w:t>. Proceso de Investigación y Desarrollo Pedagógico.</w:t>
      </w:r>
    </w:p>
    <w:p w14:paraId="5527885E" w14:textId="77777777" w:rsidR="00D33C26" w:rsidRPr="00053815" w:rsidRDefault="00266263" w:rsidP="009878E3">
      <w:pPr>
        <w:pStyle w:val="Sinespaciado"/>
      </w:pPr>
      <w:r w:rsidRPr="00053815">
        <w:rPr>
          <w:rFonts w:cs="Arial"/>
          <w:b/>
          <w:bCs/>
          <w:iCs/>
          <w:szCs w:val="24"/>
        </w:rPr>
        <w:t xml:space="preserve">Riesgo: </w:t>
      </w:r>
      <w:r w:rsidRPr="00053815">
        <w:t>Supervisión inadecuada de los contratos para el desarrollo de los proyectos de investigación o desarrollo pedagógico desde el componente técnico</w:t>
      </w:r>
      <w:r w:rsidR="00D33C26" w:rsidRPr="00053815">
        <w:t>.</w:t>
      </w:r>
    </w:p>
    <w:p w14:paraId="66F3C899" w14:textId="77777777" w:rsidR="000A5EB2" w:rsidRPr="00053815" w:rsidRDefault="000A5EB2" w:rsidP="009878E3">
      <w:pPr>
        <w:pStyle w:val="Sinespaciado"/>
        <w:rPr>
          <w:b/>
          <w:bCs/>
        </w:rPr>
      </w:pPr>
    </w:p>
    <w:p w14:paraId="68A77296" w14:textId="77777777" w:rsidR="00266263" w:rsidRPr="00053815" w:rsidRDefault="00266263" w:rsidP="009878E3">
      <w:pPr>
        <w:pStyle w:val="Sinespaciado"/>
      </w:pPr>
      <w:r w:rsidRPr="00053815">
        <w:rPr>
          <w:b/>
          <w:bCs/>
        </w:rPr>
        <w:t xml:space="preserve">Oportunidad de mejora: </w:t>
      </w:r>
      <w:r w:rsidRPr="00053815">
        <w:t>Dado que este riesgo es transversal a la Entidad y que los controles se encuentran orientados al proceso de contratación, se recomienda su articulación con este proceso.</w:t>
      </w:r>
    </w:p>
    <w:p w14:paraId="7AE3C8AB" w14:textId="77777777" w:rsidR="00266263" w:rsidRPr="00053815" w:rsidRDefault="00266263" w:rsidP="002C4BC6">
      <w:pPr>
        <w:pStyle w:val="Sinespaciado"/>
      </w:pPr>
      <w:r w:rsidRPr="00053815">
        <w:t xml:space="preserve">En cuanto al control </w:t>
      </w:r>
      <w:r w:rsidRPr="00053815">
        <w:rPr>
          <w:i/>
          <w:iCs/>
        </w:rPr>
        <w:t>"Diligenciamiento de Instrumentos de seguimiento como Fichas de Proyecto, PMR, Informes de gestión, Indicadores y POA"</w:t>
      </w:r>
      <w:r w:rsidRPr="00053815">
        <w:t>, se recomienda reformular el control ya que el solo diligenciamiento de estos instrumentos no mitiga el riesgo identificado;</w:t>
      </w:r>
      <w:r w:rsidR="002E787D" w:rsidRPr="00053815">
        <w:t xml:space="preserve"> </w:t>
      </w:r>
      <w:r w:rsidRPr="00053815">
        <w:t>para que el control sea efectivo debe estar orientado a garantizar el correcto diligenciamiento de los instrumentos y reportes de gestión, con el fin de prevenir productos entregados sin las especificaciones de calidad y oportunidad requeridos y desarticulados con los objetivos del proyecto de investigación y desarrollo pedagógico, tal como se detalló en las consecuencias del riesgo.</w:t>
      </w:r>
    </w:p>
    <w:p w14:paraId="0F9642B5" w14:textId="77777777" w:rsidR="009878E3" w:rsidRPr="00053815" w:rsidRDefault="009878E3" w:rsidP="002C4BC6">
      <w:pPr>
        <w:rPr>
          <w:rFonts w:cs="Arial"/>
          <w:b/>
          <w:bCs/>
          <w:iCs/>
          <w:szCs w:val="24"/>
        </w:rPr>
      </w:pPr>
    </w:p>
    <w:p w14:paraId="4C84973E" w14:textId="77777777" w:rsidR="00266263" w:rsidRPr="00053815" w:rsidRDefault="00266263" w:rsidP="002C4BC6">
      <w:pPr>
        <w:pStyle w:val="Sinespaciado"/>
        <w:rPr>
          <w:b/>
          <w:bCs/>
        </w:rPr>
      </w:pPr>
      <w:r w:rsidRPr="00053815">
        <w:rPr>
          <w:b/>
          <w:bCs/>
        </w:rPr>
        <w:t xml:space="preserve">Riesgo: </w:t>
      </w:r>
      <w:r w:rsidRPr="00053815">
        <w:t>Baja población inscrita en las convocatorias académicas</w:t>
      </w:r>
      <w:r w:rsidRPr="00053815">
        <w:rPr>
          <w:b/>
          <w:bCs/>
        </w:rPr>
        <w:t xml:space="preserve">   </w:t>
      </w:r>
    </w:p>
    <w:p w14:paraId="6F2279CA" w14:textId="77777777" w:rsidR="00B775AE" w:rsidRPr="00053815" w:rsidRDefault="00B775AE" w:rsidP="002C4BC6">
      <w:pPr>
        <w:pStyle w:val="Sinespaciado"/>
        <w:rPr>
          <w:b/>
          <w:bCs/>
        </w:rPr>
      </w:pPr>
    </w:p>
    <w:p w14:paraId="5BDFA6C9" w14:textId="06E4E9D5" w:rsidR="009878E3" w:rsidRPr="00053815" w:rsidRDefault="00266263" w:rsidP="002C4BC6">
      <w:pPr>
        <w:pStyle w:val="Sinespaciado"/>
      </w:pPr>
      <w:r w:rsidRPr="00053815">
        <w:rPr>
          <w:b/>
          <w:bCs/>
        </w:rPr>
        <w:t xml:space="preserve">Oportunidad de mejora: </w:t>
      </w:r>
      <w:r w:rsidRPr="00053815">
        <w:t xml:space="preserve">Revisión de los controles establecidos, puesto que los mismos </w:t>
      </w:r>
      <w:r w:rsidR="00D33C26" w:rsidRPr="00053815">
        <w:t xml:space="preserve">pese a que </w:t>
      </w:r>
      <w:r w:rsidRPr="00053815">
        <w:t>se vienen cumpliendo no son efectivos para d</w:t>
      </w:r>
      <w:r w:rsidR="00430749" w:rsidRPr="00053815">
        <w:t>isminuir el riesgo identificado.</w:t>
      </w:r>
      <w:r w:rsidRPr="00053815">
        <w:t xml:space="preserve"> </w:t>
      </w:r>
    </w:p>
    <w:p w14:paraId="16EB3F70" w14:textId="77777777" w:rsidR="00430749" w:rsidRPr="00053815" w:rsidRDefault="00430749" w:rsidP="002C4BC6">
      <w:pPr>
        <w:pStyle w:val="Sinespaciado"/>
        <w:rPr>
          <w:rFonts w:cs="Arial"/>
          <w:b/>
          <w:bCs/>
          <w:iCs/>
          <w:szCs w:val="24"/>
        </w:rPr>
      </w:pPr>
    </w:p>
    <w:p w14:paraId="2E0E43DD" w14:textId="407E881E" w:rsidR="00D33C26" w:rsidRPr="00053815" w:rsidRDefault="00D33C26" w:rsidP="002C4BC6">
      <w:pPr>
        <w:pStyle w:val="Sinespaciado"/>
        <w:rPr>
          <w:bCs/>
        </w:rPr>
      </w:pPr>
      <w:r w:rsidRPr="00053815">
        <w:rPr>
          <w:b/>
          <w:bCs/>
        </w:rPr>
        <w:t xml:space="preserve">Riesgo: </w:t>
      </w:r>
      <w:r w:rsidR="00430749" w:rsidRPr="00053815">
        <w:rPr>
          <w:bCs/>
        </w:rPr>
        <w:t xml:space="preserve">Productos </w:t>
      </w:r>
      <w:r w:rsidR="00B75462" w:rsidRPr="00053815">
        <w:rPr>
          <w:bCs/>
        </w:rPr>
        <w:t>resultado de los proyectos de I</w:t>
      </w:r>
      <w:r w:rsidR="00430749" w:rsidRPr="00053815">
        <w:rPr>
          <w:bCs/>
        </w:rPr>
        <w:t>DP con plagio</w:t>
      </w:r>
    </w:p>
    <w:p w14:paraId="3321CA99" w14:textId="77777777" w:rsidR="00430749" w:rsidRPr="00053815" w:rsidRDefault="00430749" w:rsidP="002C4BC6">
      <w:pPr>
        <w:pStyle w:val="Sinespaciado"/>
      </w:pPr>
    </w:p>
    <w:p w14:paraId="744E3CC4" w14:textId="2E337E88" w:rsidR="00D33C26" w:rsidRPr="00053815" w:rsidRDefault="00D33C26" w:rsidP="002C4BC6">
      <w:pPr>
        <w:pStyle w:val="Sinespaciado"/>
        <w:rPr>
          <w:bCs/>
        </w:rPr>
      </w:pPr>
      <w:r w:rsidRPr="00053815">
        <w:rPr>
          <w:b/>
          <w:bCs/>
        </w:rPr>
        <w:t>Oportunidad de mejora:</w:t>
      </w:r>
      <w:r w:rsidR="00430749" w:rsidRPr="00053815">
        <w:rPr>
          <w:b/>
          <w:bCs/>
        </w:rPr>
        <w:t xml:space="preserve"> </w:t>
      </w:r>
      <w:r w:rsidR="00430749" w:rsidRPr="00053815">
        <w:rPr>
          <w:bCs/>
        </w:rPr>
        <w:t>Se recomienda prever con anticipación las gestiones oportunas para la adquisición del software anti plagio</w:t>
      </w:r>
      <w:r w:rsidRPr="00053815">
        <w:rPr>
          <w:bCs/>
        </w:rPr>
        <w:t>.</w:t>
      </w:r>
    </w:p>
    <w:p w14:paraId="787E0FFB" w14:textId="77777777" w:rsidR="00266263" w:rsidRPr="00053815" w:rsidRDefault="00266263" w:rsidP="002C4BC6"/>
    <w:p w14:paraId="1737F5DD" w14:textId="79102F2E" w:rsidR="00D33C26" w:rsidRPr="00053815" w:rsidRDefault="00D33C26" w:rsidP="002C4BC6">
      <w:pPr>
        <w:rPr>
          <w:b/>
          <w:bCs/>
        </w:rPr>
      </w:pPr>
      <w:r w:rsidRPr="00053815">
        <w:rPr>
          <w:b/>
          <w:bCs/>
        </w:rPr>
        <w:t>5.2.</w:t>
      </w:r>
      <w:r w:rsidR="009878E3" w:rsidRPr="00053815">
        <w:rPr>
          <w:b/>
          <w:bCs/>
        </w:rPr>
        <w:t>3</w:t>
      </w:r>
      <w:r w:rsidRPr="00053815">
        <w:rPr>
          <w:b/>
          <w:bCs/>
        </w:rPr>
        <w:t>.</w:t>
      </w:r>
      <w:r w:rsidR="009878E3" w:rsidRPr="00053815">
        <w:rPr>
          <w:b/>
          <w:bCs/>
        </w:rPr>
        <w:t>4</w:t>
      </w:r>
      <w:r w:rsidR="00FD18CF" w:rsidRPr="00053815">
        <w:rPr>
          <w:b/>
          <w:bCs/>
        </w:rPr>
        <w:t>. Atención al Ciudadano</w:t>
      </w:r>
      <w:r w:rsidRPr="00053815">
        <w:rPr>
          <w:b/>
          <w:bCs/>
        </w:rPr>
        <w:t>.</w:t>
      </w:r>
    </w:p>
    <w:p w14:paraId="0274041B" w14:textId="1AA6876F" w:rsidR="00266263" w:rsidRPr="00053815" w:rsidRDefault="00FD18CF" w:rsidP="00053815">
      <w:pPr>
        <w:pStyle w:val="Sinespaciado"/>
        <w:rPr>
          <w:bCs/>
        </w:rPr>
      </w:pPr>
      <w:r w:rsidRPr="00053815">
        <w:rPr>
          <w:b/>
          <w:bCs/>
        </w:rPr>
        <w:t xml:space="preserve">Riesgo. </w:t>
      </w:r>
      <w:r w:rsidRPr="00053815">
        <w:rPr>
          <w:bCs/>
        </w:rPr>
        <w:t>Baja articulación entre los diferentes canales de comunicación del instituto (Página web, redes sociales, correos electrónicos)</w:t>
      </w:r>
    </w:p>
    <w:p w14:paraId="32CFE45B" w14:textId="77777777" w:rsidR="00FD18CF" w:rsidRPr="00053815" w:rsidRDefault="00FD18CF" w:rsidP="00053815">
      <w:pPr>
        <w:pStyle w:val="Sinespaciado"/>
        <w:rPr>
          <w:bCs/>
        </w:rPr>
      </w:pPr>
    </w:p>
    <w:p w14:paraId="6C7832C6" w14:textId="54FF838B" w:rsidR="00FD18CF" w:rsidRPr="00053815" w:rsidRDefault="00FD18CF" w:rsidP="00053815">
      <w:pPr>
        <w:pStyle w:val="Sinespaciado"/>
        <w:rPr>
          <w:bCs/>
        </w:rPr>
      </w:pPr>
      <w:r w:rsidRPr="00053815">
        <w:rPr>
          <w:b/>
          <w:bCs/>
        </w:rPr>
        <w:t>Oportunidad de mejora</w:t>
      </w:r>
      <w:r w:rsidRPr="00053815">
        <w:rPr>
          <w:bCs/>
        </w:rPr>
        <w:t>. Se recomienda por parte de esta Oficina la revisión de los controles establecidos para mitigar el riesgo definido, ya que la actualización del nomograma y el seguimiento al cumplimiento de transparencia no permite contribuye a que no se presente "Baja articulación entre los diferentes canales de comunicación del instituto (Pagina web, redes sociales, correos electrónicos)".</w:t>
      </w:r>
    </w:p>
    <w:p w14:paraId="09993B9F" w14:textId="77777777" w:rsidR="00FD18CF" w:rsidRPr="00053815" w:rsidRDefault="00FD18CF" w:rsidP="00053815">
      <w:pPr>
        <w:pStyle w:val="Sinespaciado"/>
        <w:rPr>
          <w:b/>
          <w:bCs/>
        </w:rPr>
      </w:pPr>
    </w:p>
    <w:p w14:paraId="4A7FCAE8" w14:textId="77777777" w:rsidR="00D33C26" w:rsidRPr="00053815" w:rsidRDefault="00D33C26" w:rsidP="00053815">
      <w:pPr>
        <w:pStyle w:val="Sinespaciado"/>
      </w:pPr>
    </w:p>
    <w:p w14:paraId="6D452751" w14:textId="5E171695" w:rsidR="00D33C26" w:rsidRPr="00053815" w:rsidRDefault="00D33C26" w:rsidP="00053815">
      <w:pPr>
        <w:rPr>
          <w:b/>
          <w:bCs/>
        </w:rPr>
      </w:pPr>
      <w:r w:rsidRPr="00053815">
        <w:rPr>
          <w:b/>
          <w:bCs/>
        </w:rPr>
        <w:t>5.2.</w:t>
      </w:r>
      <w:r w:rsidR="009878E3" w:rsidRPr="00053815">
        <w:rPr>
          <w:b/>
          <w:bCs/>
        </w:rPr>
        <w:t>3</w:t>
      </w:r>
      <w:r w:rsidRPr="00053815">
        <w:rPr>
          <w:b/>
          <w:bCs/>
        </w:rPr>
        <w:t>.</w:t>
      </w:r>
      <w:r w:rsidR="009878E3" w:rsidRPr="00053815">
        <w:rPr>
          <w:b/>
          <w:bCs/>
        </w:rPr>
        <w:t>3</w:t>
      </w:r>
      <w:r w:rsidRPr="00053815">
        <w:rPr>
          <w:b/>
          <w:bCs/>
        </w:rPr>
        <w:t xml:space="preserve">. Proceso Gestión </w:t>
      </w:r>
      <w:r w:rsidR="00FD18CF" w:rsidRPr="00053815">
        <w:rPr>
          <w:b/>
          <w:bCs/>
        </w:rPr>
        <w:t>Financiera.</w:t>
      </w:r>
    </w:p>
    <w:p w14:paraId="11023202" w14:textId="059B140B" w:rsidR="00D33C26" w:rsidRPr="00053815" w:rsidRDefault="00D33C26" w:rsidP="00053815">
      <w:pPr>
        <w:pStyle w:val="Sinespaciado"/>
      </w:pPr>
      <w:r w:rsidRPr="00053815">
        <w:rPr>
          <w:b/>
          <w:bCs/>
        </w:rPr>
        <w:t xml:space="preserve">Riesgo: </w:t>
      </w:r>
      <w:r w:rsidR="00FD18CF" w:rsidRPr="00053815">
        <w:rPr>
          <w:bCs/>
        </w:rPr>
        <w:t>Presentación inadecuada o extemporánea de las obligaciones tributarias</w:t>
      </w:r>
    </w:p>
    <w:p w14:paraId="3E83B1CF" w14:textId="77777777" w:rsidR="00FD18CF" w:rsidRPr="00053815" w:rsidRDefault="00FD18CF" w:rsidP="00053815">
      <w:pPr>
        <w:pStyle w:val="Sinespaciado"/>
        <w:rPr>
          <w:b/>
          <w:bCs/>
        </w:rPr>
      </w:pPr>
    </w:p>
    <w:p w14:paraId="295CACE9" w14:textId="02768F58" w:rsidR="00FD18CF" w:rsidRPr="00053815" w:rsidRDefault="00FD18CF" w:rsidP="00053815">
      <w:pPr>
        <w:pStyle w:val="Sinespaciado"/>
      </w:pPr>
      <w:r w:rsidRPr="00053815">
        <w:rPr>
          <w:b/>
          <w:bCs/>
        </w:rPr>
        <w:t xml:space="preserve">Observación </w:t>
      </w:r>
      <w:r w:rsidRPr="00053815">
        <w:rPr>
          <w:bCs/>
        </w:rPr>
        <w:t>Con base en los resultados de la auditoría interna al proceso de Gestión Financiera 2020 se evidencia</w:t>
      </w:r>
      <w:r w:rsidRPr="00053815">
        <w:rPr>
          <w:b/>
          <w:bCs/>
        </w:rPr>
        <w:t xml:space="preserve"> materialización del riesgo</w:t>
      </w:r>
      <w:r w:rsidR="005147D8" w:rsidRPr="00053815">
        <w:rPr>
          <w:b/>
          <w:bCs/>
        </w:rPr>
        <w:t xml:space="preserve"> </w:t>
      </w:r>
      <w:r w:rsidR="005147D8" w:rsidRPr="00053815">
        <w:rPr>
          <w:bCs/>
          <w:i/>
        </w:rPr>
        <w:t>Presentación inadecuada o extemporánea de las obligaciones tributarias</w:t>
      </w:r>
      <w:r w:rsidR="005147D8" w:rsidRPr="00053815">
        <w:rPr>
          <w:i/>
        </w:rPr>
        <w:t xml:space="preserve"> </w:t>
      </w:r>
      <w:r w:rsidRPr="00053815">
        <w:rPr>
          <w:bCs/>
        </w:rPr>
        <w:t>por cuanto hubo extemporaneidad en el pago de retención en la fuente para el mes de enero 2020, y la presentación y pago de la declaración de retención en la fuente para el mes de junio de 2020.</w:t>
      </w:r>
    </w:p>
    <w:p w14:paraId="60E14E3F" w14:textId="77777777" w:rsidR="00FD18CF" w:rsidRPr="00053815" w:rsidRDefault="00FD18CF" w:rsidP="00053815">
      <w:pPr>
        <w:pStyle w:val="Sinespaciado"/>
        <w:rPr>
          <w:b/>
          <w:bCs/>
        </w:rPr>
      </w:pPr>
    </w:p>
    <w:p w14:paraId="2A501447" w14:textId="3D6C14EF" w:rsidR="00325D11" w:rsidRPr="00053815" w:rsidRDefault="00D33C26" w:rsidP="00053815">
      <w:pPr>
        <w:pStyle w:val="Sinespaciado"/>
      </w:pPr>
      <w:r w:rsidRPr="00053815">
        <w:rPr>
          <w:b/>
          <w:bCs/>
        </w:rPr>
        <w:t>Oportunidad de mejora:</w:t>
      </w:r>
      <w:r w:rsidR="00325D11" w:rsidRPr="00053815">
        <w:rPr>
          <w:rFonts w:cs="Arial"/>
          <w:bCs/>
          <w:szCs w:val="24"/>
        </w:rPr>
        <w:t xml:space="preserve"> se recomienda la revisión de los controles establecidos puesto que los mismos no son efectivos para disminuir el riesgo identificado</w:t>
      </w:r>
      <w:r w:rsidR="00325D11" w:rsidRPr="00053815">
        <w:t xml:space="preserve">. </w:t>
      </w:r>
    </w:p>
    <w:p w14:paraId="1C4539A4" w14:textId="14C024CA" w:rsidR="00D33C26" w:rsidRPr="00053815" w:rsidRDefault="00D33C26" w:rsidP="00053815">
      <w:pPr>
        <w:pStyle w:val="Sinespaciado"/>
        <w:rPr>
          <w:b/>
          <w:bCs/>
        </w:rPr>
      </w:pPr>
    </w:p>
    <w:p w14:paraId="08950725" w14:textId="144723A5" w:rsidR="00F66F0F" w:rsidRPr="00053815" w:rsidRDefault="00F66F0F" w:rsidP="00053815">
      <w:pPr>
        <w:pStyle w:val="Sinespaciado"/>
      </w:pPr>
      <w:r w:rsidRPr="00053815">
        <w:t>Para los riesgos identificados en los procesos de Gestión de Talen</w:t>
      </w:r>
      <w:r w:rsidR="00EB6E7D" w:rsidRPr="00053815">
        <w:t>to Humano, Gestión Financiera</w:t>
      </w:r>
      <w:r w:rsidRPr="00053815">
        <w:t xml:space="preserve">, se observa que en la identificación de controles se </w:t>
      </w:r>
      <w:r w:rsidR="00AD490E" w:rsidRPr="00053815">
        <w:t>asocia un procedimiento, se recomienda identificar en el control que actividades lo mitigan.</w:t>
      </w:r>
    </w:p>
    <w:p w14:paraId="583FD5E8" w14:textId="77777777" w:rsidR="009878E3" w:rsidRPr="00053815" w:rsidRDefault="009878E3" w:rsidP="00053815">
      <w:pPr>
        <w:pStyle w:val="Ttulo4"/>
        <w:rPr>
          <w:rFonts w:ascii="Arial" w:hAnsi="Arial" w:cs="Arial"/>
          <w:b/>
          <w:i w:val="0"/>
          <w:color w:val="auto"/>
          <w:szCs w:val="24"/>
        </w:rPr>
      </w:pPr>
    </w:p>
    <w:p w14:paraId="23FDF95A" w14:textId="77777777" w:rsidR="009878E3" w:rsidRPr="00053815" w:rsidRDefault="009878E3" w:rsidP="00053815">
      <w:pPr>
        <w:pStyle w:val="Ttulo4"/>
        <w:rPr>
          <w:rFonts w:ascii="Arial" w:hAnsi="Arial" w:cs="Arial"/>
          <w:b/>
          <w:i w:val="0"/>
          <w:color w:val="auto"/>
          <w:szCs w:val="24"/>
        </w:rPr>
      </w:pPr>
    </w:p>
    <w:p w14:paraId="658EE5A1" w14:textId="4508B09D" w:rsidR="00A505A1" w:rsidRPr="00053815" w:rsidRDefault="009878E3" w:rsidP="00053815">
      <w:pPr>
        <w:pStyle w:val="Prrafodelista"/>
        <w:numPr>
          <w:ilvl w:val="0"/>
          <w:numId w:val="1"/>
        </w:numPr>
        <w:spacing w:after="160" w:line="259" w:lineRule="auto"/>
        <w:rPr>
          <w:rFonts w:eastAsiaTheme="majorEastAsia" w:cs="Arial"/>
          <w:b/>
          <w:iCs/>
          <w:szCs w:val="24"/>
        </w:rPr>
      </w:pPr>
      <w:r w:rsidRPr="00053815">
        <w:rPr>
          <w:rFonts w:cs="Arial"/>
          <w:b/>
          <w:i/>
          <w:szCs w:val="24"/>
        </w:rPr>
        <w:br w:type="page"/>
      </w:r>
      <w:r w:rsidR="00A505A1" w:rsidRPr="00053815">
        <w:rPr>
          <w:rFonts w:cs="Arial"/>
          <w:b/>
          <w:szCs w:val="24"/>
        </w:rPr>
        <w:lastRenderedPageBreak/>
        <w:t xml:space="preserve">CONCLUSIONES </w:t>
      </w:r>
    </w:p>
    <w:p w14:paraId="11564899" w14:textId="77777777" w:rsidR="009878E3" w:rsidRPr="00053815" w:rsidRDefault="009878E3" w:rsidP="00053815">
      <w:r w:rsidRPr="00053815">
        <w:t>La política de administración del riesgo adoptada por la Entidad atiende de manera general los lineamientos establecidos por el Departamento Administrativo del Servicio Civil.</w:t>
      </w:r>
    </w:p>
    <w:p w14:paraId="362BC8E9" w14:textId="3F82E56D" w:rsidR="00AD490E" w:rsidRPr="00053815" w:rsidRDefault="00CC3705" w:rsidP="00053815">
      <w:r w:rsidRPr="00053815">
        <w:t>Se observó que a 31 de diciembre</w:t>
      </w:r>
      <w:r w:rsidR="00AD490E" w:rsidRPr="00053815">
        <w:t xml:space="preserve"> de 2020 la Entidad registra en su mapa de riesgos de corrupción 63 riesgos con acciones de controles, contando con documentación en mayor parte, idónea, para sustentar la efectividad de su aplicación. </w:t>
      </w:r>
    </w:p>
    <w:p w14:paraId="2249A8DF" w14:textId="5A445936" w:rsidR="00AD490E" w:rsidRPr="00053815" w:rsidRDefault="00AD490E" w:rsidP="00053815">
      <w:r w:rsidRPr="00053815">
        <w:t>En el reporte remitido por parte de los responsables de proceso se informó la materialización de un (1) riesgo por parte de</w:t>
      </w:r>
      <w:r w:rsidR="00CC3705" w:rsidRPr="00053815">
        <w:t>l proceso de gestión Contractual</w:t>
      </w:r>
      <w:r w:rsidRPr="00053815">
        <w:t>; sin embargo en el seguimiento efectuado</w:t>
      </w:r>
      <w:r w:rsidR="00CC3705" w:rsidRPr="00053815">
        <w:t xml:space="preserve"> por parte de las auditorías internas realizadas en el segundo semestre de 2020</w:t>
      </w:r>
      <w:r w:rsidRPr="00053815">
        <w:t xml:space="preserve"> se identificó materialización de un</w:t>
      </w:r>
      <w:r w:rsidR="00CC3705" w:rsidRPr="00053815">
        <w:t xml:space="preserve"> (1) </w:t>
      </w:r>
      <w:r w:rsidRPr="00053815">
        <w:t xml:space="preserve"> riesgo en e</w:t>
      </w:r>
      <w:r w:rsidR="00CC3705" w:rsidRPr="00053815">
        <w:t>l proceso de gestión de Talento Humano y de un (1)  riesgo en el proceso de Gestión Financiera.</w:t>
      </w:r>
    </w:p>
    <w:p w14:paraId="7EE0407C" w14:textId="77777777" w:rsidR="00AD490E" w:rsidRPr="00053815" w:rsidRDefault="00AD490E" w:rsidP="00053815">
      <w:r w:rsidRPr="00053815">
        <w:t xml:space="preserve">No se presentó materialización de riesgos de corrupción. </w:t>
      </w:r>
    </w:p>
    <w:p w14:paraId="7C16CE34" w14:textId="77777777" w:rsidR="00AD490E" w:rsidRPr="00053815" w:rsidRDefault="00AD490E" w:rsidP="00053815">
      <w:pPr>
        <w:pStyle w:val="Ttulo4"/>
        <w:rPr>
          <w:rFonts w:ascii="Arial" w:hAnsi="Arial" w:cs="Arial"/>
          <w:b/>
          <w:i w:val="0"/>
          <w:color w:val="auto"/>
          <w:szCs w:val="24"/>
        </w:rPr>
      </w:pPr>
    </w:p>
    <w:p w14:paraId="11F19628" w14:textId="77777777" w:rsidR="00A505A1" w:rsidRPr="00053815" w:rsidRDefault="00A505A1" w:rsidP="00053815">
      <w:pPr>
        <w:pStyle w:val="Ttulo4"/>
        <w:numPr>
          <w:ilvl w:val="0"/>
          <w:numId w:val="1"/>
        </w:numPr>
        <w:rPr>
          <w:rFonts w:ascii="Arial" w:hAnsi="Arial" w:cs="Arial"/>
          <w:b/>
          <w:i w:val="0"/>
          <w:color w:val="auto"/>
          <w:szCs w:val="24"/>
        </w:rPr>
      </w:pPr>
      <w:r w:rsidRPr="00053815">
        <w:rPr>
          <w:rFonts w:ascii="Arial" w:hAnsi="Arial" w:cs="Arial"/>
          <w:b/>
          <w:i w:val="0"/>
          <w:color w:val="auto"/>
          <w:szCs w:val="24"/>
        </w:rPr>
        <w:t>OBSERVACIONES</w:t>
      </w:r>
      <w:r w:rsidR="00AD490E" w:rsidRPr="00053815">
        <w:rPr>
          <w:rFonts w:ascii="Arial" w:hAnsi="Arial" w:cs="Arial"/>
          <w:b/>
          <w:i w:val="0"/>
          <w:color w:val="auto"/>
          <w:szCs w:val="24"/>
        </w:rPr>
        <w:t xml:space="preserve"> Y RECOMENDACIONES.</w:t>
      </w:r>
    </w:p>
    <w:p w14:paraId="7C1A3A58" w14:textId="77777777" w:rsidR="007B1EB0" w:rsidRPr="00053815" w:rsidRDefault="007B1EB0" w:rsidP="00053815">
      <w:pPr>
        <w:pStyle w:val="Textoindependiente"/>
        <w:rPr>
          <w:rFonts w:cs="Arial"/>
          <w:szCs w:val="24"/>
        </w:rPr>
      </w:pPr>
    </w:p>
    <w:p w14:paraId="153D3C8E" w14:textId="77777777" w:rsidR="00A505A1" w:rsidRPr="00053815" w:rsidRDefault="009878E3" w:rsidP="00053815">
      <w:pPr>
        <w:pStyle w:val="Textoindependiente"/>
        <w:rPr>
          <w:rFonts w:cs="Arial"/>
          <w:szCs w:val="24"/>
        </w:rPr>
      </w:pPr>
      <w:r w:rsidRPr="00053815">
        <w:rPr>
          <w:rFonts w:cs="Arial"/>
          <w:szCs w:val="24"/>
        </w:rPr>
        <w:t>Las observaciones y recomendaciones s</w:t>
      </w:r>
      <w:r w:rsidR="00AD490E" w:rsidRPr="00053815">
        <w:rPr>
          <w:rFonts w:cs="Arial"/>
          <w:szCs w:val="24"/>
        </w:rPr>
        <w:t xml:space="preserve">e detallaron en el </w:t>
      </w:r>
      <w:r w:rsidR="007B1EB0" w:rsidRPr="00053815">
        <w:rPr>
          <w:rFonts w:cs="Arial"/>
          <w:szCs w:val="24"/>
        </w:rPr>
        <w:t xml:space="preserve">desarrollo del informe. </w:t>
      </w:r>
    </w:p>
    <w:p w14:paraId="6948CD5A" w14:textId="77777777" w:rsidR="00A505A1" w:rsidRPr="00053815" w:rsidRDefault="00A505A1" w:rsidP="00053815">
      <w:pPr>
        <w:spacing w:before="60" w:after="60"/>
        <w:rPr>
          <w:szCs w:val="24"/>
        </w:rPr>
      </w:pPr>
    </w:p>
    <w:p w14:paraId="0459F5B0" w14:textId="77777777" w:rsidR="00C033CA" w:rsidRPr="00053815" w:rsidRDefault="00C033CA" w:rsidP="00E43AEA">
      <w:pPr>
        <w:spacing w:before="60" w:after="60"/>
        <w:rPr>
          <w:noProof/>
        </w:rPr>
      </w:pPr>
    </w:p>
    <w:p w14:paraId="3EFA6741" w14:textId="39AD9631" w:rsidR="00865BFB" w:rsidRPr="00053815" w:rsidRDefault="008C41C7" w:rsidP="005A376D">
      <w:pPr>
        <w:spacing w:before="60" w:after="60"/>
        <w:jc w:val="center"/>
        <w:rPr>
          <w:szCs w:val="24"/>
        </w:rPr>
      </w:pPr>
      <w:r w:rsidRPr="00584DB1">
        <w:rPr>
          <w:noProof/>
          <w:lang w:val="es-ES" w:eastAsia="es-ES"/>
        </w:rPr>
        <w:drawing>
          <wp:inline distT="0" distB="0" distL="0" distR="0" wp14:anchorId="737463A8" wp14:editId="6649D642">
            <wp:extent cx="1743075" cy="54292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l="32756" t="54034" r="44162" b="37814"/>
                    <a:stretch>
                      <a:fillRect/>
                    </a:stretch>
                  </pic:blipFill>
                  <pic:spPr bwMode="auto">
                    <a:xfrm rot="10800000">
                      <a:off x="0" y="0"/>
                      <a:ext cx="1743075" cy="542925"/>
                    </a:xfrm>
                    <a:prstGeom prst="rect">
                      <a:avLst/>
                    </a:prstGeom>
                    <a:noFill/>
                    <a:ln>
                      <a:noFill/>
                    </a:ln>
                  </pic:spPr>
                </pic:pic>
              </a:graphicData>
            </a:graphic>
          </wp:inline>
        </w:drawing>
      </w:r>
    </w:p>
    <w:p w14:paraId="2757EFF2" w14:textId="77777777" w:rsidR="00A505A1" w:rsidRPr="00053815" w:rsidRDefault="00A505A1" w:rsidP="00A505A1">
      <w:pPr>
        <w:spacing w:after="0"/>
        <w:jc w:val="center"/>
        <w:rPr>
          <w:rFonts w:eastAsia="Times New Roman" w:cs="Arial"/>
          <w:b/>
          <w:bCs/>
          <w:szCs w:val="24"/>
        </w:rPr>
      </w:pPr>
      <w:r w:rsidRPr="00053815">
        <w:rPr>
          <w:rFonts w:eastAsia="Times New Roman" w:cs="Arial"/>
          <w:b/>
          <w:bCs/>
          <w:szCs w:val="24"/>
        </w:rPr>
        <w:t>HILDA YAMILE MORALES LAVERDE</w:t>
      </w:r>
    </w:p>
    <w:p w14:paraId="739CEDC1" w14:textId="77777777" w:rsidR="00A505A1" w:rsidRPr="00053815" w:rsidRDefault="00A505A1" w:rsidP="00A505A1">
      <w:pPr>
        <w:spacing w:after="0"/>
        <w:jc w:val="center"/>
        <w:rPr>
          <w:rFonts w:eastAsia="Times New Roman" w:cs="Arial"/>
          <w:bCs/>
          <w:szCs w:val="24"/>
        </w:rPr>
      </w:pPr>
      <w:r w:rsidRPr="00053815">
        <w:rPr>
          <w:rFonts w:eastAsia="Times New Roman" w:cs="Arial"/>
          <w:bCs/>
          <w:szCs w:val="24"/>
        </w:rPr>
        <w:t>Jefe de Control Interno</w:t>
      </w:r>
    </w:p>
    <w:p w14:paraId="23CA85EF" w14:textId="77777777" w:rsidR="00A505A1" w:rsidRPr="00053815" w:rsidRDefault="00A505A1" w:rsidP="00A505A1">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8"/>
        <w:gridCol w:w="5774"/>
        <w:gridCol w:w="2016"/>
      </w:tblGrid>
      <w:tr w:rsidR="00A505A1" w:rsidRPr="00053815" w14:paraId="0140BFD5" w14:textId="77777777" w:rsidTr="007B1EB0">
        <w:trPr>
          <w:trHeight w:val="163"/>
        </w:trPr>
        <w:tc>
          <w:tcPr>
            <w:tcW w:w="6918" w:type="dxa"/>
            <w:gridSpan w:val="2"/>
            <w:tcBorders>
              <w:top w:val="single" w:sz="4" w:space="0" w:color="auto"/>
              <w:left w:val="single" w:sz="4" w:space="0" w:color="auto"/>
              <w:bottom w:val="single" w:sz="4" w:space="0" w:color="auto"/>
              <w:right w:val="single" w:sz="4" w:space="0" w:color="auto"/>
            </w:tcBorders>
          </w:tcPr>
          <w:p w14:paraId="2B80EF00" w14:textId="77777777" w:rsidR="00A505A1" w:rsidRPr="00053815" w:rsidRDefault="00A505A1" w:rsidP="007B1EB0">
            <w:pPr>
              <w:pStyle w:val="Sinespaciado"/>
              <w:jc w:val="center"/>
              <w:rPr>
                <w:rFonts w:cs="Arial"/>
                <w:b/>
                <w:bCs/>
                <w:sz w:val="16"/>
                <w:szCs w:val="16"/>
              </w:rPr>
            </w:pPr>
            <w:r w:rsidRPr="00053815">
              <w:rPr>
                <w:rFonts w:cs="Arial"/>
                <w:b/>
                <w:bCs/>
                <w:sz w:val="16"/>
                <w:szCs w:val="16"/>
              </w:rPr>
              <w:t>Nombre / Cargo</w:t>
            </w:r>
          </w:p>
        </w:tc>
        <w:tc>
          <w:tcPr>
            <w:tcW w:w="1910" w:type="dxa"/>
            <w:tcBorders>
              <w:top w:val="single" w:sz="4" w:space="0" w:color="auto"/>
              <w:left w:val="single" w:sz="4" w:space="0" w:color="auto"/>
              <w:bottom w:val="single" w:sz="4" w:space="0" w:color="auto"/>
              <w:right w:val="single" w:sz="4" w:space="0" w:color="auto"/>
            </w:tcBorders>
          </w:tcPr>
          <w:p w14:paraId="0C5DB04A" w14:textId="77777777" w:rsidR="00A505A1" w:rsidRPr="00053815" w:rsidRDefault="00A505A1" w:rsidP="007B1EB0">
            <w:pPr>
              <w:pStyle w:val="Sinespaciado"/>
              <w:jc w:val="center"/>
              <w:rPr>
                <w:rFonts w:cs="Arial"/>
                <w:b/>
                <w:bCs/>
                <w:sz w:val="16"/>
                <w:szCs w:val="16"/>
              </w:rPr>
            </w:pPr>
            <w:r w:rsidRPr="00053815">
              <w:rPr>
                <w:rFonts w:cs="Arial"/>
                <w:b/>
                <w:bCs/>
                <w:sz w:val="16"/>
                <w:szCs w:val="16"/>
              </w:rPr>
              <w:t>Firma</w:t>
            </w:r>
          </w:p>
        </w:tc>
      </w:tr>
      <w:tr w:rsidR="00A505A1" w:rsidRPr="00053815" w14:paraId="303E1DEE" w14:textId="77777777" w:rsidTr="007B1EB0">
        <w:trPr>
          <w:trHeight w:val="168"/>
        </w:trPr>
        <w:tc>
          <w:tcPr>
            <w:tcW w:w="1044" w:type="dxa"/>
            <w:tcBorders>
              <w:top w:val="single" w:sz="4" w:space="0" w:color="auto"/>
              <w:left w:val="single" w:sz="4" w:space="0" w:color="auto"/>
              <w:bottom w:val="single" w:sz="4" w:space="0" w:color="auto"/>
              <w:right w:val="single" w:sz="4" w:space="0" w:color="auto"/>
            </w:tcBorders>
          </w:tcPr>
          <w:p w14:paraId="2C0C03A8" w14:textId="77777777" w:rsidR="00A505A1" w:rsidRPr="00053815" w:rsidRDefault="00A505A1" w:rsidP="007B1EB0">
            <w:pPr>
              <w:pStyle w:val="Sinespaciado"/>
              <w:rPr>
                <w:rFonts w:cs="Arial"/>
                <w:sz w:val="16"/>
                <w:szCs w:val="16"/>
              </w:rPr>
            </w:pPr>
            <w:r w:rsidRPr="00053815">
              <w:rPr>
                <w:rFonts w:cs="Arial"/>
                <w:sz w:val="16"/>
                <w:szCs w:val="16"/>
              </w:rPr>
              <w:t>Aprobó</w:t>
            </w:r>
          </w:p>
        </w:tc>
        <w:tc>
          <w:tcPr>
            <w:tcW w:w="5874" w:type="dxa"/>
            <w:tcBorders>
              <w:top w:val="single" w:sz="4" w:space="0" w:color="auto"/>
              <w:left w:val="single" w:sz="4" w:space="0" w:color="auto"/>
              <w:bottom w:val="single" w:sz="4" w:space="0" w:color="auto"/>
              <w:right w:val="single" w:sz="4" w:space="0" w:color="auto"/>
            </w:tcBorders>
          </w:tcPr>
          <w:p w14:paraId="63F4FD20" w14:textId="77777777" w:rsidR="00A505A1" w:rsidRPr="00053815" w:rsidRDefault="00A505A1" w:rsidP="007B1EB0">
            <w:pPr>
              <w:pStyle w:val="Sinespaciado"/>
              <w:rPr>
                <w:rFonts w:cs="Arial"/>
                <w:sz w:val="16"/>
                <w:szCs w:val="16"/>
              </w:rPr>
            </w:pPr>
            <w:r w:rsidRPr="00053815">
              <w:rPr>
                <w:rFonts w:cs="Arial"/>
                <w:sz w:val="16"/>
                <w:szCs w:val="16"/>
              </w:rPr>
              <w:t>Hilda Yamile Morales Laverde, Jefe Oficina Control Interno</w:t>
            </w:r>
          </w:p>
        </w:tc>
        <w:tc>
          <w:tcPr>
            <w:tcW w:w="1910" w:type="dxa"/>
            <w:tcBorders>
              <w:top w:val="single" w:sz="4" w:space="0" w:color="auto"/>
              <w:left w:val="single" w:sz="4" w:space="0" w:color="auto"/>
              <w:bottom w:val="single" w:sz="4" w:space="0" w:color="auto"/>
              <w:right w:val="single" w:sz="4" w:space="0" w:color="auto"/>
            </w:tcBorders>
          </w:tcPr>
          <w:p w14:paraId="489FA9B3" w14:textId="356E998F" w:rsidR="00A505A1" w:rsidRPr="00053815" w:rsidRDefault="008C41C7" w:rsidP="007B1EB0">
            <w:pPr>
              <w:pStyle w:val="Sinespaciado"/>
              <w:rPr>
                <w:rFonts w:cs="Arial"/>
                <w:sz w:val="16"/>
                <w:szCs w:val="16"/>
              </w:rPr>
            </w:pPr>
            <w:r w:rsidRPr="00584DB1">
              <w:rPr>
                <w:noProof/>
                <w:lang w:val="es-ES" w:eastAsia="es-ES"/>
              </w:rPr>
              <w:drawing>
                <wp:inline distT="0" distB="0" distL="0" distR="0" wp14:anchorId="5367A513" wp14:editId="61FC0B72">
                  <wp:extent cx="1028700" cy="320415"/>
                  <wp:effectExtent l="0" t="0" r="0" b="381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l="32756" t="54034" r="44162" b="37814"/>
                          <a:stretch>
                            <a:fillRect/>
                          </a:stretch>
                        </pic:blipFill>
                        <pic:spPr bwMode="auto">
                          <a:xfrm rot="10800000">
                            <a:off x="0" y="0"/>
                            <a:ext cx="1048870" cy="326697"/>
                          </a:xfrm>
                          <a:prstGeom prst="rect">
                            <a:avLst/>
                          </a:prstGeom>
                          <a:noFill/>
                          <a:ln>
                            <a:noFill/>
                          </a:ln>
                        </pic:spPr>
                      </pic:pic>
                    </a:graphicData>
                  </a:graphic>
                </wp:inline>
              </w:drawing>
            </w:r>
          </w:p>
        </w:tc>
      </w:tr>
      <w:tr w:rsidR="00A505A1" w:rsidRPr="00053815" w14:paraId="2218A95A" w14:textId="77777777" w:rsidTr="007B1EB0">
        <w:tc>
          <w:tcPr>
            <w:tcW w:w="1044" w:type="dxa"/>
            <w:tcBorders>
              <w:top w:val="single" w:sz="4" w:space="0" w:color="auto"/>
              <w:left w:val="single" w:sz="4" w:space="0" w:color="auto"/>
              <w:bottom w:val="single" w:sz="4" w:space="0" w:color="auto"/>
              <w:right w:val="single" w:sz="4" w:space="0" w:color="auto"/>
            </w:tcBorders>
          </w:tcPr>
          <w:p w14:paraId="5A0F0E7F" w14:textId="77777777" w:rsidR="00A505A1" w:rsidRPr="00053815" w:rsidRDefault="00A505A1" w:rsidP="007B1EB0">
            <w:pPr>
              <w:pStyle w:val="Sinespaciado"/>
              <w:rPr>
                <w:rFonts w:cs="Arial"/>
                <w:sz w:val="16"/>
                <w:szCs w:val="16"/>
              </w:rPr>
            </w:pPr>
            <w:r w:rsidRPr="00053815">
              <w:rPr>
                <w:rFonts w:cs="Arial"/>
                <w:sz w:val="16"/>
                <w:szCs w:val="16"/>
              </w:rPr>
              <w:t>Revisó</w:t>
            </w:r>
          </w:p>
        </w:tc>
        <w:tc>
          <w:tcPr>
            <w:tcW w:w="5874" w:type="dxa"/>
            <w:tcBorders>
              <w:top w:val="single" w:sz="4" w:space="0" w:color="auto"/>
              <w:left w:val="single" w:sz="4" w:space="0" w:color="auto"/>
              <w:bottom w:val="single" w:sz="4" w:space="0" w:color="auto"/>
              <w:right w:val="single" w:sz="4" w:space="0" w:color="auto"/>
            </w:tcBorders>
          </w:tcPr>
          <w:p w14:paraId="0EAC1294" w14:textId="77777777" w:rsidR="00A505A1" w:rsidRPr="00053815" w:rsidRDefault="00A505A1" w:rsidP="007B1EB0">
            <w:pPr>
              <w:pStyle w:val="Sinespaciado"/>
              <w:rPr>
                <w:rFonts w:cs="Arial"/>
                <w:sz w:val="16"/>
                <w:szCs w:val="16"/>
              </w:rPr>
            </w:pPr>
            <w:r w:rsidRPr="00053815">
              <w:rPr>
                <w:rFonts w:cs="Arial"/>
                <w:sz w:val="16"/>
                <w:szCs w:val="16"/>
              </w:rPr>
              <w:t>Hilda Yamile Morales Laverde, Jefe Oficina Control Interno</w:t>
            </w:r>
          </w:p>
        </w:tc>
        <w:tc>
          <w:tcPr>
            <w:tcW w:w="1910" w:type="dxa"/>
            <w:tcBorders>
              <w:top w:val="single" w:sz="4" w:space="0" w:color="auto"/>
              <w:left w:val="single" w:sz="4" w:space="0" w:color="auto"/>
              <w:bottom w:val="single" w:sz="4" w:space="0" w:color="auto"/>
              <w:right w:val="single" w:sz="4" w:space="0" w:color="auto"/>
            </w:tcBorders>
          </w:tcPr>
          <w:p w14:paraId="7A517594" w14:textId="57671C36" w:rsidR="00A505A1" w:rsidRPr="00053815" w:rsidRDefault="008C41C7" w:rsidP="007B1EB0">
            <w:pPr>
              <w:pStyle w:val="Sinespaciado"/>
              <w:rPr>
                <w:rFonts w:cs="Arial"/>
                <w:sz w:val="16"/>
                <w:szCs w:val="16"/>
              </w:rPr>
            </w:pPr>
            <w:r w:rsidRPr="00584DB1">
              <w:rPr>
                <w:noProof/>
                <w:lang w:val="es-ES" w:eastAsia="es-ES"/>
              </w:rPr>
              <w:drawing>
                <wp:inline distT="0" distB="0" distL="0" distR="0" wp14:anchorId="6F05D392" wp14:editId="7E077C89">
                  <wp:extent cx="1076325" cy="335249"/>
                  <wp:effectExtent l="0" t="0" r="0" b="825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l="32756" t="54034" r="44162" b="37814"/>
                          <a:stretch>
                            <a:fillRect/>
                          </a:stretch>
                        </pic:blipFill>
                        <pic:spPr bwMode="auto">
                          <a:xfrm rot="10800000">
                            <a:off x="0" y="0"/>
                            <a:ext cx="1093468" cy="340589"/>
                          </a:xfrm>
                          <a:prstGeom prst="rect">
                            <a:avLst/>
                          </a:prstGeom>
                          <a:noFill/>
                          <a:ln>
                            <a:noFill/>
                          </a:ln>
                        </pic:spPr>
                      </pic:pic>
                    </a:graphicData>
                  </a:graphic>
                </wp:inline>
              </w:drawing>
            </w:r>
          </w:p>
        </w:tc>
      </w:tr>
      <w:tr w:rsidR="00A505A1" w:rsidRPr="00053815" w14:paraId="0EC1D67F" w14:textId="77777777" w:rsidTr="007B1EB0">
        <w:tc>
          <w:tcPr>
            <w:tcW w:w="1044" w:type="dxa"/>
            <w:tcBorders>
              <w:top w:val="single" w:sz="4" w:space="0" w:color="auto"/>
              <w:left w:val="single" w:sz="4" w:space="0" w:color="auto"/>
              <w:bottom w:val="single" w:sz="4" w:space="0" w:color="auto"/>
              <w:right w:val="single" w:sz="4" w:space="0" w:color="auto"/>
            </w:tcBorders>
          </w:tcPr>
          <w:p w14:paraId="27259B78" w14:textId="77777777" w:rsidR="00A505A1" w:rsidRPr="00053815" w:rsidRDefault="00A505A1" w:rsidP="007B1EB0">
            <w:pPr>
              <w:pStyle w:val="Sinespaciado"/>
              <w:rPr>
                <w:rFonts w:cs="Arial"/>
                <w:sz w:val="16"/>
                <w:szCs w:val="16"/>
              </w:rPr>
            </w:pPr>
            <w:r w:rsidRPr="00053815">
              <w:rPr>
                <w:rFonts w:cs="Arial"/>
                <w:sz w:val="16"/>
                <w:szCs w:val="16"/>
              </w:rPr>
              <w:t>Elaboró</w:t>
            </w:r>
          </w:p>
        </w:tc>
        <w:tc>
          <w:tcPr>
            <w:tcW w:w="5874" w:type="dxa"/>
            <w:tcBorders>
              <w:top w:val="single" w:sz="4" w:space="0" w:color="auto"/>
              <w:left w:val="single" w:sz="4" w:space="0" w:color="auto"/>
              <w:bottom w:val="single" w:sz="4" w:space="0" w:color="auto"/>
              <w:right w:val="single" w:sz="4" w:space="0" w:color="auto"/>
            </w:tcBorders>
          </w:tcPr>
          <w:p w14:paraId="68C9FFCA" w14:textId="7B237471" w:rsidR="00A505A1" w:rsidRPr="00053815" w:rsidRDefault="00C033CA" w:rsidP="007B1EB0">
            <w:pPr>
              <w:pStyle w:val="Sinespaciado"/>
              <w:rPr>
                <w:rFonts w:cs="Arial"/>
                <w:sz w:val="16"/>
                <w:szCs w:val="16"/>
              </w:rPr>
            </w:pPr>
            <w:r w:rsidRPr="00053815">
              <w:rPr>
                <w:rFonts w:cs="Arial"/>
                <w:sz w:val="16"/>
                <w:szCs w:val="16"/>
              </w:rPr>
              <w:t>María Margarita Cruz Gómez, Profesional Contratista</w:t>
            </w:r>
            <w:r w:rsidR="009878E3" w:rsidRPr="00053815">
              <w:rPr>
                <w:rFonts w:cs="Arial"/>
                <w:sz w:val="16"/>
                <w:szCs w:val="16"/>
              </w:rPr>
              <w:t xml:space="preserve"> Oficina Control Interno</w:t>
            </w:r>
          </w:p>
        </w:tc>
        <w:tc>
          <w:tcPr>
            <w:tcW w:w="1910" w:type="dxa"/>
            <w:tcBorders>
              <w:top w:val="single" w:sz="4" w:space="0" w:color="auto"/>
              <w:left w:val="single" w:sz="4" w:space="0" w:color="auto"/>
              <w:bottom w:val="single" w:sz="4" w:space="0" w:color="auto"/>
              <w:right w:val="single" w:sz="4" w:space="0" w:color="auto"/>
            </w:tcBorders>
          </w:tcPr>
          <w:p w14:paraId="2866E73D" w14:textId="12668772" w:rsidR="00A505A1" w:rsidRPr="00053815" w:rsidRDefault="00B75462" w:rsidP="007B1EB0">
            <w:pPr>
              <w:pStyle w:val="Sinespaciado"/>
              <w:rPr>
                <w:rFonts w:cs="Arial"/>
                <w:sz w:val="16"/>
                <w:szCs w:val="16"/>
              </w:rPr>
            </w:pPr>
            <w:r w:rsidRPr="00053815">
              <w:rPr>
                <w:rFonts w:cs="Arial"/>
                <w:noProof/>
                <w:sz w:val="16"/>
                <w:szCs w:val="16"/>
                <w:lang w:val="es-ES" w:eastAsia="es-ES"/>
              </w:rPr>
              <w:drawing>
                <wp:inline distT="0" distB="0" distL="0" distR="0" wp14:anchorId="352C6441" wp14:editId="230F0604">
                  <wp:extent cx="1140460" cy="390525"/>
                  <wp:effectExtent l="0" t="0" r="2540" b="9525"/>
                  <wp:docPr id="8" name="Imagen 8" descr="firma digit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ma digital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0460" cy="390525"/>
                          </a:xfrm>
                          <a:prstGeom prst="rect">
                            <a:avLst/>
                          </a:prstGeom>
                          <a:noFill/>
                          <a:ln>
                            <a:noFill/>
                          </a:ln>
                        </pic:spPr>
                      </pic:pic>
                    </a:graphicData>
                  </a:graphic>
                </wp:inline>
              </w:drawing>
            </w:r>
          </w:p>
        </w:tc>
      </w:tr>
      <w:tr w:rsidR="00A505A1" w:rsidRPr="00AC62FB" w14:paraId="062952E2" w14:textId="77777777" w:rsidTr="007B1EB0">
        <w:tc>
          <w:tcPr>
            <w:tcW w:w="8828" w:type="dxa"/>
            <w:gridSpan w:val="3"/>
            <w:tcBorders>
              <w:top w:val="single" w:sz="4" w:space="0" w:color="auto"/>
              <w:left w:val="single" w:sz="4" w:space="0" w:color="auto"/>
              <w:bottom w:val="single" w:sz="4" w:space="0" w:color="auto"/>
              <w:right w:val="single" w:sz="4" w:space="0" w:color="auto"/>
            </w:tcBorders>
          </w:tcPr>
          <w:p w14:paraId="3D4E769E" w14:textId="77777777" w:rsidR="00A505A1" w:rsidRPr="00AC62FB" w:rsidRDefault="00A505A1" w:rsidP="007B1EB0">
            <w:pPr>
              <w:pStyle w:val="Sinespaciado"/>
              <w:rPr>
                <w:rFonts w:cs="Arial"/>
                <w:i/>
                <w:sz w:val="16"/>
                <w:szCs w:val="16"/>
              </w:rPr>
            </w:pPr>
            <w:r w:rsidRPr="00053815">
              <w:rPr>
                <w:rFonts w:cs="Arial"/>
                <w:i/>
                <w:sz w:val="16"/>
                <w:szCs w:val="16"/>
              </w:rPr>
              <w:t>Los arriba firmantes declaramos que hemos revisado el presente documento y lo encontramos ajustado a las normas y disposiciones legales y/o técnicas vigentes</w:t>
            </w:r>
          </w:p>
        </w:tc>
      </w:tr>
    </w:tbl>
    <w:p w14:paraId="7A5D6683" w14:textId="77777777" w:rsidR="00A505A1" w:rsidRDefault="00A505A1" w:rsidP="00A505A1"/>
    <w:bookmarkEnd w:id="0"/>
    <w:p w14:paraId="6C32BB8E" w14:textId="77777777" w:rsidR="007B1EB0" w:rsidRDefault="007B1EB0"/>
    <w:sectPr w:rsidR="007B1EB0" w:rsidSect="007B1EB0">
      <w:headerReference w:type="default" r:id="rId13"/>
      <w:footerReference w:type="default" r:id="rId14"/>
      <w:pgSz w:w="12240" w:h="15840" w:code="1"/>
      <w:pgMar w:top="1418" w:right="1701" w:bottom="1701" w:left="1701" w:header="561"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596982" w16cid:durableId="23A57DE7"/>
  <w16cid:commentId w16cid:paraId="38BE3F5F" w16cid:durableId="23A57E2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3E1685" w14:textId="77777777" w:rsidR="008B6FB2" w:rsidRDefault="008B6FB2" w:rsidP="00A505A1">
      <w:pPr>
        <w:spacing w:after="0"/>
      </w:pPr>
      <w:r>
        <w:separator/>
      </w:r>
    </w:p>
  </w:endnote>
  <w:endnote w:type="continuationSeparator" w:id="0">
    <w:p w14:paraId="6F09CBD7" w14:textId="77777777" w:rsidR="008B6FB2" w:rsidRDefault="008B6FB2" w:rsidP="00A505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1E274" w14:textId="77777777" w:rsidR="007B1EB0" w:rsidRDefault="007B1EB0" w:rsidP="007B1EB0">
    <w:pPr>
      <w:pStyle w:val="Piedepgina"/>
      <w:jc w:val="right"/>
    </w:pPr>
    <w:r>
      <w:rPr>
        <w:noProof/>
        <w:lang w:val="es-ES" w:eastAsia="es-ES"/>
      </w:rPr>
      <mc:AlternateContent>
        <mc:Choice Requires="wps">
          <w:drawing>
            <wp:anchor distT="0" distB="0" distL="114300" distR="114300" simplePos="0" relativeHeight="251659264" behindDoc="0" locked="0" layoutInCell="1" allowOverlap="1" wp14:anchorId="3A140F32" wp14:editId="2E97D738">
              <wp:simplePos x="0" y="0"/>
              <wp:positionH relativeFrom="column">
                <wp:posOffset>-413385</wp:posOffset>
              </wp:positionH>
              <wp:positionV relativeFrom="paragraph">
                <wp:posOffset>-321945</wp:posOffset>
              </wp:positionV>
              <wp:extent cx="4109085" cy="708660"/>
              <wp:effectExtent l="0" t="0" r="571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9085" cy="708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270BAC" w14:textId="77777777" w:rsidR="007B1EB0" w:rsidRPr="00713410" w:rsidRDefault="007B1EB0" w:rsidP="00713410">
                          <w:pPr>
                            <w:pStyle w:val="Sinespaciado"/>
                            <w:rPr>
                              <w:sz w:val="16"/>
                              <w:szCs w:val="16"/>
                              <w:lang w:val="es-ES"/>
                            </w:rPr>
                          </w:pPr>
                          <w:r w:rsidRPr="00713410">
                            <w:rPr>
                              <w:sz w:val="16"/>
                              <w:szCs w:val="16"/>
                              <w:lang w:val="es-ES"/>
                            </w:rPr>
                            <w:t>INSTITUTO PARA LA INVESTIGACIÓN EDUCATIVA Y EL DESARROLLO PEDAGÓGICO, IDEP</w:t>
                          </w:r>
                        </w:p>
                        <w:p w14:paraId="6DF792A8" w14:textId="77777777" w:rsidR="007B1EB0" w:rsidRPr="00713410" w:rsidRDefault="007B1EB0" w:rsidP="00713410">
                          <w:pPr>
                            <w:pStyle w:val="Sinespaciado"/>
                            <w:rPr>
                              <w:sz w:val="16"/>
                              <w:szCs w:val="16"/>
                              <w:lang w:val="es-ES"/>
                            </w:rPr>
                          </w:pPr>
                          <w:r w:rsidRPr="00713410">
                            <w:rPr>
                              <w:sz w:val="16"/>
                              <w:szCs w:val="16"/>
                              <w:lang w:val="es-ES"/>
                            </w:rPr>
                            <w:t>Avenida Calle 26 No. 69D - 91. Oficinas 805, 806. Torre 2 - Código Postal: 110931</w:t>
                          </w:r>
                        </w:p>
                        <w:p w14:paraId="4DC23AAE" w14:textId="77777777" w:rsidR="007B1EB0" w:rsidRPr="00713410" w:rsidRDefault="007B1EB0" w:rsidP="00713410">
                          <w:pPr>
                            <w:pStyle w:val="Sinespaciado"/>
                            <w:rPr>
                              <w:sz w:val="16"/>
                              <w:szCs w:val="16"/>
                              <w:lang w:val="es-ES"/>
                            </w:rPr>
                          </w:pPr>
                          <w:r w:rsidRPr="00713410">
                            <w:rPr>
                              <w:sz w:val="16"/>
                              <w:szCs w:val="16"/>
                              <w:lang w:val="es-ES"/>
                            </w:rPr>
                            <w:t>PBX (57-1) 263 0603 - Línea de atención al ciudadano 195</w:t>
                          </w:r>
                        </w:p>
                        <w:p w14:paraId="2F520499" w14:textId="77777777" w:rsidR="007B1EB0" w:rsidRPr="007940A9" w:rsidRDefault="007B1EB0" w:rsidP="007B1EB0">
                          <w:pPr>
                            <w:spacing w:line="180" w:lineRule="atLeast"/>
                            <w:rPr>
                              <w:rFonts w:cs="Arial"/>
                              <w:color w:val="323E4F" w:themeColor="text2" w:themeShade="BF"/>
                              <w:sz w:val="14"/>
                              <w:szCs w:val="14"/>
                              <w:lang w:val="es-ES"/>
                            </w:rPr>
                          </w:pPr>
                          <w:r w:rsidRPr="007940A9">
                            <w:rPr>
                              <w:rFonts w:cs="Arial"/>
                              <w:color w:val="323E4F" w:themeColor="text2" w:themeShade="BF"/>
                              <w:sz w:val="14"/>
                              <w:szCs w:val="14"/>
                              <w:lang w:val="es-ES"/>
                            </w:rPr>
                            <w:t>Bogotá DC - Colombia</w:t>
                          </w:r>
                        </w:p>
                        <w:p w14:paraId="78871DD2" w14:textId="77777777" w:rsidR="007B1EB0" w:rsidRPr="007940A9" w:rsidRDefault="007B1EB0" w:rsidP="007B1EB0">
                          <w:pPr>
                            <w:spacing w:line="180" w:lineRule="atLeast"/>
                            <w:rPr>
                              <w:rFonts w:cs="Arial"/>
                              <w:color w:val="323E4F" w:themeColor="text2" w:themeShade="BF"/>
                              <w:sz w:val="14"/>
                              <w:szCs w:val="14"/>
                              <w:lang w:val="es-ES"/>
                            </w:rPr>
                          </w:pPr>
                          <w:r w:rsidRPr="007940A9">
                            <w:rPr>
                              <w:rFonts w:cs="Arial"/>
                              <w:color w:val="323E4F" w:themeColor="text2" w:themeShade="BF"/>
                              <w:sz w:val="14"/>
                              <w:szCs w:val="14"/>
                              <w:lang w:val="es-ES"/>
                            </w:rPr>
                            <w:t>idep@idep.edu.co</w:t>
                          </w:r>
                        </w:p>
                        <w:p w14:paraId="729002FD" w14:textId="77777777" w:rsidR="007B1EB0" w:rsidRPr="007940A9" w:rsidRDefault="007B1EB0" w:rsidP="007B1EB0">
                          <w:pPr>
                            <w:spacing w:line="180" w:lineRule="atLeast"/>
                            <w:rPr>
                              <w:rFonts w:cs="Arial"/>
                              <w:color w:val="323E4F" w:themeColor="text2" w:themeShade="BF"/>
                              <w:sz w:val="14"/>
                              <w:szCs w:val="14"/>
                              <w:lang w:val="es-ES"/>
                            </w:rPr>
                          </w:pPr>
                          <w:r w:rsidRPr="007940A9">
                            <w:rPr>
                              <w:rFonts w:cs="Arial"/>
                              <w:color w:val="323E4F" w:themeColor="text2" w:themeShade="BF"/>
                              <w:sz w:val="14"/>
                              <w:szCs w:val="14"/>
                              <w:lang w:val="es-ES"/>
                            </w:rPr>
                            <w:t>www.idep.edu.co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A140F32" id="_x0000_t202" coordsize="21600,21600" o:spt="202" path="m,l,21600r21600,l21600,xe">
              <v:stroke joinstyle="miter"/>
              <v:path gradientshapeok="t" o:connecttype="rect"/>
            </v:shapetype>
            <v:shape id="Text Box 1" o:spid="_x0000_s1026" type="#_x0000_t202" style="position:absolute;left:0;text-align:left;margin-left:-32.55pt;margin-top:-25.35pt;width:323.55pt;height:5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" stroked="f">
              <v:textbox>
                <w:txbxContent>
                  <w:p w14:paraId="4D270BAC" w14:textId="77777777" w:rsidR="007B1EB0" w:rsidRPr="00713410" w:rsidRDefault="007B1EB0" w:rsidP="00713410">
                    <w:pPr>
                      <w:pStyle w:val="Sinespaciado"/>
                      <w:rPr>
                        <w:sz w:val="16"/>
                        <w:szCs w:val="16"/>
                        <w:lang w:val="es-ES"/>
                      </w:rPr>
                    </w:pPr>
                    <w:r w:rsidRPr="00713410">
                      <w:rPr>
                        <w:sz w:val="16"/>
                        <w:szCs w:val="16"/>
                        <w:lang w:val="es-ES"/>
                      </w:rPr>
                      <w:t>INSTITUTO PARA LA INVESTIGACIÓN EDUCATIVA Y EL DESARROLLO PEDAGÓGICO, IDEP</w:t>
                    </w:r>
                  </w:p>
                  <w:p w14:paraId="6DF792A8" w14:textId="77777777" w:rsidR="007B1EB0" w:rsidRPr="00713410" w:rsidRDefault="007B1EB0" w:rsidP="00713410">
                    <w:pPr>
                      <w:pStyle w:val="Sinespaciado"/>
                      <w:rPr>
                        <w:sz w:val="16"/>
                        <w:szCs w:val="16"/>
                        <w:lang w:val="es-ES"/>
                      </w:rPr>
                    </w:pPr>
                    <w:r w:rsidRPr="00713410">
                      <w:rPr>
                        <w:sz w:val="16"/>
                        <w:szCs w:val="16"/>
                        <w:lang w:val="es-ES"/>
                      </w:rPr>
                      <w:t>Avenida Calle 26 No. 69D - 91. Oficinas 805, 806. Torre 2 - Código Postal: 110931</w:t>
                    </w:r>
                  </w:p>
                  <w:p w14:paraId="4DC23AAE" w14:textId="77777777" w:rsidR="007B1EB0" w:rsidRPr="00713410" w:rsidRDefault="007B1EB0" w:rsidP="00713410">
                    <w:pPr>
                      <w:pStyle w:val="Sinespaciado"/>
                      <w:rPr>
                        <w:sz w:val="16"/>
                        <w:szCs w:val="16"/>
                        <w:lang w:val="es-ES"/>
                      </w:rPr>
                    </w:pPr>
                    <w:r w:rsidRPr="00713410">
                      <w:rPr>
                        <w:sz w:val="16"/>
                        <w:szCs w:val="16"/>
                        <w:lang w:val="es-ES"/>
                      </w:rPr>
                      <w:t>PBX (57-1) 263 0603 - Línea de atención al ciudadano 195</w:t>
                    </w:r>
                  </w:p>
                  <w:p w14:paraId="2F520499" w14:textId="77777777" w:rsidR="007B1EB0" w:rsidRPr="007940A9" w:rsidRDefault="007B1EB0" w:rsidP="007B1EB0">
                    <w:pPr>
                      <w:spacing w:line="180" w:lineRule="atLeast"/>
                      <w:rPr>
                        <w:rFonts w:cs="Arial"/>
                        <w:color w:val="323E4F" w:themeColor="text2" w:themeShade="BF"/>
                        <w:sz w:val="14"/>
                        <w:szCs w:val="14"/>
                        <w:lang w:val="es-ES"/>
                      </w:rPr>
                    </w:pPr>
                    <w:r w:rsidRPr="007940A9">
                      <w:rPr>
                        <w:rFonts w:cs="Arial"/>
                        <w:color w:val="323E4F" w:themeColor="text2" w:themeShade="BF"/>
                        <w:sz w:val="14"/>
                        <w:szCs w:val="14"/>
                        <w:lang w:val="es-ES"/>
                      </w:rPr>
                      <w:t>Bogotá DC - Colombia</w:t>
                    </w:r>
                  </w:p>
                  <w:p w14:paraId="78871DD2" w14:textId="77777777" w:rsidR="007B1EB0" w:rsidRPr="007940A9" w:rsidRDefault="007B1EB0" w:rsidP="007B1EB0">
                    <w:pPr>
                      <w:spacing w:line="180" w:lineRule="atLeast"/>
                      <w:rPr>
                        <w:rFonts w:cs="Arial"/>
                        <w:color w:val="323E4F" w:themeColor="text2" w:themeShade="BF"/>
                        <w:sz w:val="14"/>
                        <w:szCs w:val="14"/>
                        <w:lang w:val="es-ES"/>
                      </w:rPr>
                    </w:pPr>
                    <w:r w:rsidRPr="007940A9">
                      <w:rPr>
                        <w:rFonts w:cs="Arial"/>
                        <w:color w:val="323E4F" w:themeColor="text2" w:themeShade="BF"/>
                        <w:sz w:val="14"/>
                        <w:szCs w:val="14"/>
                        <w:lang w:val="es-ES"/>
                      </w:rPr>
                      <w:t>idep@idep.edu.co</w:t>
                    </w:r>
                  </w:p>
                  <w:p w14:paraId="729002FD" w14:textId="77777777" w:rsidR="007B1EB0" w:rsidRPr="007940A9" w:rsidRDefault="007B1EB0" w:rsidP="007B1EB0">
                    <w:pPr>
                      <w:spacing w:line="180" w:lineRule="atLeast"/>
                      <w:rPr>
                        <w:rFonts w:cs="Arial"/>
                        <w:color w:val="323E4F" w:themeColor="text2" w:themeShade="BF"/>
                        <w:sz w:val="14"/>
                        <w:szCs w:val="14"/>
                        <w:lang w:val="es-ES"/>
                      </w:rPr>
                    </w:pPr>
                    <w:r w:rsidRPr="007940A9">
                      <w:rPr>
                        <w:rFonts w:cs="Arial"/>
                        <w:color w:val="323E4F" w:themeColor="text2" w:themeShade="BF"/>
                        <w:sz w:val="14"/>
                        <w:szCs w:val="14"/>
                        <w:lang w:val="es-ES"/>
                      </w:rPr>
                      <w:t>www.idep.edu.co</w:t>
                    </w:r>
                  </w:p>
                </w:txbxContent>
              </v:textbox>
            </v:shape>
          </w:pict>
        </mc:Fallback>
      </mc:AlternateContent>
    </w:r>
    <w:r>
      <w:rPr>
        <w:noProof/>
        <w:lang w:val="es-ES" w:eastAsia="es-ES"/>
      </w:rPr>
      <mc:AlternateContent>
        <mc:Choice Requires="wps">
          <w:drawing>
            <wp:anchor distT="0" distB="0" distL="114300" distR="114300" simplePos="0" relativeHeight="251660288" behindDoc="0" locked="0" layoutInCell="1" allowOverlap="1" wp14:anchorId="122841F5" wp14:editId="2D7719D7">
              <wp:simplePos x="0" y="0"/>
              <wp:positionH relativeFrom="column">
                <wp:posOffset>3806190</wp:posOffset>
              </wp:positionH>
              <wp:positionV relativeFrom="paragraph">
                <wp:posOffset>-445771</wp:posOffset>
              </wp:positionV>
              <wp:extent cx="2219325" cy="75247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752475"/>
                      </a:xfrm>
                      <a:prstGeom prst="rect">
                        <a:avLst/>
                      </a:prstGeom>
                      <a:noFill/>
                      <a:ln w="9525">
                        <a:noFill/>
                        <a:miter lim="800000"/>
                        <a:headEnd/>
                        <a:tailEnd/>
                      </a:ln>
                    </wps:spPr>
                    <wps:txbx>
                      <w:txbxContent>
                        <w:p w14:paraId="4A84E490" w14:textId="77777777" w:rsidR="007B1EB0" w:rsidRDefault="007B1EB0">
                          <w:r>
                            <w:rPr>
                              <w:noProof/>
                              <w:lang w:val="es-ES" w:eastAsia="es-ES"/>
                            </w:rPr>
                            <w:drawing>
                              <wp:inline distT="0" distB="0" distL="0" distR="0" wp14:anchorId="6154405A" wp14:editId="7835AAE9">
                                <wp:extent cx="2012950" cy="652145"/>
                                <wp:effectExtent l="0" t="0" r="635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ogotá 2020 peq.jpg"/>
                                        <pic:cNvPicPr/>
                                      </pic:nvPicPr>
                                      <pic:blipFill>
                                        <a:blip r:embed="rId1">
                                          <a:extLst>
                                            <a:ext uri="{28A0092B-C50C-407E-A947-70E740481C1C}">
                                              <a14:useLocalDpi xmlns:a14="http://schemas.microsoft.com/office/drawing/2010/main" val="0"/>
                                            </a:ext>
                                          </a:extLst>
                                        </a:blip>
                                        <a:stretch>
                                          <a:fillRect/>
                                        </a:stretch>
                                      </pic:blipFill>
                                      <pic:spPr>
                                        <a:xfrm>
                                          <a:off x="0" y="0"/>
                                          <a:ext cx="2012950" cy="65214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2841F5" id="Cuadro de texto 2" o:spid="_x0000_s1027" type="#_x0000_t202" style="position:absolute;left:0;text-align:left;margin-left:299.7pt;margin-top:-35.1pt;width:174.75pt;height:5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" filled="f" stroked="f">
              <v:textbox>
                <w:txbxContent>
                  <w:p w14:paraId="4A84E490" w14:textId="77777777" w:rsidR="007B1EB0" w:rsidRDefault="007B1EB0">
                    <w:r>
                      <w:rPr>
                        <w:noProof/>
                      </w:rPr>
                      <w:drawing>
                        <wp:inline distT="0" distB="0" distL="0" distR="0" wp14:anchorId="6154405A" wp14:editId="7835AAE9">
                          <wp:extent cx="2012950" cy="652145"/>
                          <wp:effectExtent l="0" t="0" r="635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ogotá 2020 peq.jpg"/>
                                  <pic:cNvPicPr/>
                                </pic:nvPicPr>
                                <pic:blipFill>
                                  <a:blip r:embed="rId2">
                                    <a:extLst>
                                      <a:ext uri="{28A0092B-C50C-407E-A947-70E740481C1C}">
                                        <a14:useLocalDpi xmlns:a14="http://schemas.microsoft.com/office/drawing/2010/main" val="0"/>
                                      </a:ext>
                                    </a:extLst>
                                  </a:blip>
                                  <a:stretch>
                                    <a:fillRect/>
                                  </a:stretch>
                                </pic:blipFill>
                                <pic:spPr>
                                  <a:xfrm>
                                    <a:off x="0" y="0"/>
                                    <a:ext cx="2012950" cy="652145"/>
                                  </a:xfrm>
                                  <a:prstGeom prst="rect">
                                    <a:avLst/>
                                  </a:prstGeom>
                                </pic:spPr>
                              </pic:pic>
                            </a:graphicData>
                          </a:graphic>
                        </wp:inline>
                      </w:drawing>
                    </w:r>
                  </w:p>
                </w:txbxContent>
              </v:textbox>
            </v:shape>
          </w:pict>
        </mc:Fallback>
      </mc:AlternateConten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11EAE0" w14:textId="77777777" w:rsidR="008B6FB2" w:rsidRDefault="008B6FB2" w:rsidP="00A505A1">
      <w:pPr>
        <w:spacing w:after="0"/>
      </w:pPr>
      <w:r>
        <w:separator/>
      </w:r>
    </w:p>
  </w:footnote>
  <w:footnote w:type="continuationSeparator" w:id="0">
    <w:p w14:paraId="467853B4" w14:textId="77777777" w:rsidR="008B6FB2" w:rsidRDefault="008B6FB2" w:rsidP="00A505A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11267" w14:textId="77777777" w:rsidR="007B1EB0" w:rsidRDefault="007B1EB0" w:rsidP="007B1EB0">
    <w:pPr>
      <w:pStyle w:val="Encabezado"/>
      <w:jc w:val="center"/>
    </w:pPr>
    <w:r>
      <w:rPr>
        <w:noProof/>
        <w:lang w:val="es-ES" w:eastAsia="es-ES"/>
      </w:rPr>
      <w:drawing>
        <wp:inline distT="0" distB="0" distL="0" distR="0" wp14:anchorId="3425E9A1" wp14:editId="2D809D02">
          <wp:extent cx="866775" cy="813552"/>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AlcadíaMayor peq.jpg"/>
                  <pic:cNvPicPr/>
                </pic:nvPicPr>
                <pic:blipFill>
                  <a:blip r:embed="rId1">
                    <a:extLst>
                      <a:ext uri="{28A0092B-C50C-407E-A947-70E740481C1C}">
                        <a14:useLocalDpi xmlns:a14="http://schemas.microsoft.com/office/drawing/2010/main" val="0"/>
                      </a:ext>
                    </a:extLst>
                  </a:blip>
                  <a:stretch>
                    <a:fillRect/>
                  </a:stretch>
                </pic:blipFill>
                <pic:spPr>
                  <a:xfrm>
                    <a:off x="0" y="0"/>
                    <a:ext cx="886680" cy="83223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6059A0"/>
    <w:multiLevelType w:val="hybridMultilevel"/>
    <w:tmpl w:val="4F247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D1307EB"/>
    <w:multiLevelType w:val="hybridMultilevel"/>
    <w:tmpl w:val="54EA07E0"/>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E9D0816"/>
    <w:multiLevelType w:val="hybridMultilevel"/>
    <w:tmpl w:val="E29AED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F882540"/>
    <w:multiLevelType w:val="hybridMultilevel"/>
    <w:tmpl w:val="66286E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0A95C43"/>
    <w:multiLevelType w:val="hybridMultilevel"/>
    <w:tmpl w:val="EEB89B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83F635E"/>
    <w:multiLevelType w:val="hybridMultilevel"/>
    <w:tmpl w:val="54768B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A776862"/>
    <w:multiLevelType w:val="hybridMultilevel"/>
    <w:tmpl w:val="967A4F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7EC931DF"/>
    <w:multiLevelType w:val="hybridMultilevel"/>
    <w:tmpl w:val="EA509D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7"/>
  </w:num>
  <w:num w:numId="5">
    <w:abstractNumId w:val="0"/>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5A1"/>
    <w:rsid w:val="000108A4"/>
    <w:rsid w:val="00043DAC"/>
    <w:rsid w:val="00053815"/>
    <w:rsid w:val="00053EAE"/>
    <w:rsid w:val="00062E81"/>
    <w:rsid w:val="000A5EB2"/>
    <w:rsid w:val="000C6FF8"/>
    <w:rsid w:val="000F727D"/>
    <w:rsid w:val="00133640"/>
    <w:rsid w:val="001B1FFA"/>
    <w:rsid w:val="001C1348"/>
    <w:rsid w:val="00203BDE"/>
    <w:rsid w:val="002165E0"/>
    <w:rsid w:val="00245A46"/>
    <w:rsid w:val="00261542"/>
    <w:rsid w:val="00266263"/>
    <w:rsid w:val="002B5305"/>
    <w:rsid w:val="002C4BC6"/>
    <w:rsid w:val="002E787D"/>
    <w:rsid w:val="002F78E4"/>
    <w:rsid w:val="00325D11"/>
    <w:rsid w:val="0033478B"/>
    <w:rsid w:val="003779F8"/>
    <w:rsid w:val="003A2A93"/>
    <w:rsid w:val="003C776B"/>
    <w:rsid w:val="003D27F3"/>
    <w:rsid w:val="00430749"/>
    <w:rsid w:val="00433A95"/>
    <w:rsid w:val="004B4A7F"/>
    <w:rsid w:val="004E6465"/>
    <w:rsid w:val="004E6F6F"/>
    <w:rsid w:val="004F58A0"/>
    <w:rsid w:val="005147D8"/>
    <w:rsid w:val="005A09D8"/>
    <w:rsid w:val="005A376D"/>
    <w:rsid w:val="005D4119"/>
    <w:rsid w:val="00625EE1"/>
    <w:rsid w:val="00651D7E"/>
    <w:rsid w:val="006C0E29"/>
    <w:rsid w:val="006C2836"/>
    <w:rsid w:val="00713410"/>
    <w:rsid w:val="00746AA4"/>
    <w:rsid w:val="007B1EB0"/>
    <w:rsid w:val="00823A43"/>
    <w:rsid w:val="008323C6"/>
    <w:rsid w:val="008468B8"/>
    <w:rsid w:val="00865BFB"/>
    <w:rsid w:val="00872EA4"/>
    <w:rsid w:val="008806BB"/>
    <w:rsid w:val="008B6FB2"/>
    <w:rsid w:val="008C3016"/>
    <w:rsid w:val="008C41C7"/>
    <w:rsid w:val="008F1E63"/>
    <w:rsid w:val="00967626"/>
    <w:rsid w:val="009878E3"/>
    <w:rsid w:val="009938A9"/>
    <w:rsid w:val="009978BC"/>
    <w:rsid w:val="00A11B5E"/>
    <w:rsid w:val="00A25C1D"/>
    <w:rsid w:val="00A356D6"/>
    <w:rsid w:val="00A505A1"/>
    <w:rsid w:val="00A6757E"/>
    <w:rsid w:val="00A860F4"/>
    <w:rsid w:val="00AA659A"/>
    <w:rsid w:val="00AD490E"/>
    <w:rsid w:val="00AF076D"/>
    <w:rsid w:val="00B620B6"/>
    <w:rsid w:val="00B633FC"/>
    <w:rsid w:val="00B75462"/>
    <w:rsid w:val="00B775AE"/>
    <w:rsid w:val="00B914BC"/>
    <w:rsid w:val="00BC22B3"/>
    <w:rsid w:val="00BC5629"/>
    <w:rsid w:val="00C02EB9"/>
    <w:rsid w:val="00C033CA"/>
    <w:rsid w:val="00C24F46"/>
    <w:rsid w:val="00C333C6"/>
    <w:rsid w:val="00CC01AB"/>
    <w:rsid w:val="00CC176F"/>
    <w:rsid w:val="00CC3705"/>
    <w:rsid w:val="00D26109"/>
    <w:rsid w:val="00D27377"/>
    <w:rsid w:val="00D33C26"/>
    <w:rsid w:val="00D81312"/>
    <w:rsid w:val="00DB2F3B"/>
    <w:rsid w:val="00DB6C51"/>
    <w:rsid w:val="00E43AEA"/>
    <w:rsid w:val="00E46B65"/>
    <w:rsid w:val="00EB1473"/>
    <w:rsid w:val="00EB6E7D"/>
    <w:rsid w:val="00ED1AE3"/>
    <w:rsid w:val="00F579ED"/>
    <w:rsid w:val="00F6562B"/>
    <w:rsid w:val="00F66F0F"/>
    <w:rsid w:val="00F92A7C"/>
    <w:rsid w:val="00FB4DA8"/>
    <w:rsid w:val="00FD18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6FBD8"/>
  <w15:chartTrackingRefBased/>
  <w15:docId w15:val="{C61314F2-E354-42DB-87AB-721309D38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B0"/>
    <w:pPr>
      <w:spacing w:after="200" w:line="240" w:lineRule="auto"/>
      <w:jc w:val="both"/>
    </w:pPr>
    <w:rPr>
      <w:rFonts w:ascii="Arial" w:eastAsiaTheme="minorEastAsia" w:hAnsi="Arial"/>
      <w:sz w:val="24"/>
      <w:lang w:eastAsia="es-CO"/>
    </w:rPr>
  </w:style>
  <w:style w:type="paragraph" w:styleId="Ttulo1">
    <w:name w:val="heading 1"/>
    <w:basedOn w:val="Normal"/>
    <w:next w:val="Normal"/>
    <w:link w:val="Ttulo1Car"/>
    <w:uiPriority w:val="9"/>
    <w:qFormat/>
    <w:rsid w:val="00A505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4">
    <w:name w:val="heading 4"/>
    <w:basedOn w:val="Normal"/>
    <w:next w:val="Normal"/>
    <w:link w:val="Ttulo4Car"/>
    <w:uiPriority w:val="9"/>
    <w:unhideWhenUsed/>
    <w:qFormat/>
    <w:rsid w:val="00A505A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505A1"/>
    <w:rPr>
      <w:rFonts w:asciiTheme="majorHAnsi" w:eastAsiaTheme="majorEastAsia" w:hAnsiTheme="majorHAnsi" w:cstheme="majorBidi"/>
      <w:color w:val="2F5496" w:themeColor="accent1" w:themeShade="BF"/>
      <w:sz w:val="32"/>
      <w:szCs w:val="32"/>
      <w:lang w:eastAsia="es-CO"/>
    </w:rPr>
  </w:style>
  <w:style w:type="character" w:customStyle="1" w:styleId="Ttulo4Car">
    <w:name w:val="Título 4 Car"/>
    <w:basedOn w:val="Fuentedeprrafopredeter"/>
    <w:link w:val="Ttulo4"/>
    <w:uiPriority w:val="9"/>
    <w:rsid w:val="00A505A1"/>
    <w:rPr>
      <w:rFonts w:asciiTheme="majorHAnsi" w:eastAsiaTheme="majorEastAsia" w:hAnsiTheme="majorHAnsi" w:cstheme="majorBidi"/>
      <w:i/>
      <w:iCs/>
      <w:color w:val="2F5496" w:themeColor="accent1" w:themeShade="BF"/>
      <w:sz w:val="24"/>
      <w:lang w:eastAsia="es-CO"/>
    </w:rPr>
  </w:style>
  <w:style w:type="paragraph" w:styleId="Encabezado">
    <w:name w:val="header"/>
    <w:basedOn w:val="Normal"/>
    <w:link w:val="EncabezadoCar"/>
    <w:uiPriority w:val="99"/>
    <w:unhideWhenUsed/>
    <w:rsid w:val="00A505A1"/>
    <w:pPr>
      <w:tabs>
        <w:tab w:val="center" w:pos="4419"/>
        <w:tab w:val="right" w:pos="8838"/>
      </w:tabs>
    </w:pPr>
    <w:rPr>
      <w:rFonts w:asciiTheme="minorHAnsi" w:eastAsiaTheme="minorHAnsi" w:hAnsiTheme="minorHAnsi"/>
      <w:sz w:val="22"/>
      <w:lang w:eastAsia="en-US"/>
    </w:rPr>
  </w:style>
  <w:style w:type="character" w:customStyle="1" w:styleId="EncabezadoCar">
    <w:name w:val="Encabezado Car"/>
    <w:basedOn w:val="Fuentedeprrafopredeter"/>
    <w:link w:val="Encabezado"/>
    <w:uiPriority w:val="99"/>
    <w:rsid w:val="00A505A1"/>
  </w:style>
  <w:style w:type="paragraph" w:styleId="Piedepgina">
    <w:name w:val="footer"/>
    <w:basedOn w:val="Normal"/>
    <w:link w:val="PiedepginaCar"/>
    <w:uiPriority w:val="99"/>
    <w:unhideWhenUsed/>
    <w:rsid w:val="00A505A1"/>
    <w:pPr>
      <w:tabs>
        <w:tab w:val="center" w:pos="4419"/>
        <w:tab w:val="right" w:pos="8838"/>
      </w:tabs>
    </w:pPr>
    <w:rPr>
      <w:rFonts w:asciiTheme="minorHAnsi" w:eastAsiaTheme="minorHAnsi" w:hAnsiTheme="minorHAnsi"/>
      <w:sz w:val="22"/>
      <w:lang w:eastAsia="en-US"/>
    </w:rPr>
  </w:style>
  <w:style w:type="character" w:customStyle="1" w:styleId="PiedepginaCar">
    <w:name w:val="Pie de página Car"/>
    <w:basedOn w:val="Fuentedeprrafopredeter"/>
    <w:link w:val="Piedepgina"/>
    <w:uiPriority w:val="99"/>
    <w:rsid w:val="00A505A1"/>
  </w:style>
  <w:style w:type="paragraph" w:styleId="Prrafodelista">
    <w:name w:val="List Paragraph"/>
    <w:aliases w:val="Párrafo de lista en tabla de sistematización,List Paragraph"/>
    <w:basedOn w:val="Normal"/>
    <w:uiPriority w:val="34"/>
    <w:qFormat/>
    <w:rsid w:val="00A505A1"/>
    <w:pPr>
      <w:ind w:left="720"/>
      <w:contextualSpacing/>
    </w:pPr>
  </w:style>
  <w:style w:type="paragraph" w:styleId="Sinespaciado">
    <w:name w:val="No Spacing"/>
    <w:uiPriority w:val="1"/>
    <w:qFormat/>
    <w:rsid w:val="009878E3"/>
    <w:pPr>
      <w:spacing w:after="0" w:line="240" w:lineRule="auto"/>
      <w:jc w:val="both"/>
    </w:pPr>
    <w:rPr>
      <w:rFonts w:ascii="Arial" w:eastAsiaTheme="minorEastAsia" w:hAnsi="Arial"/>
      <w:sz w:val="24"/>
      <w:lang w:eastAsia="es-CO"/>
    </w:rPr>
  </w:style>
  <w:style w:type="paragraph" w:customStyle="1" w:styleId="Default">
    <w:name w:val="Default"/>
    <w:rsid w:val="00A505A1"/>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99"/>
    <w:unhideWhenUsed/>
    <w:rsid w:val="00A505A1"/>
    <w:pPr>
      <w:spacing w:after="120"/>
    </w:pPr>
  </w:style>
  <w:style w:type="character" w:customStyle="1" w:styleId="TextoindependienteCar">
    <w:name w:val="Texto independiente Car"/>
    <w:basedOn w:val="Fuentedeprrafopredeter"/>
    <w:link w:val="Textoindependiente"/>
    <w:uiPriority w:val="99"/>
    <w:rsid w:val="00A505A1"/>
    <w:rPr>
      <w:rFonts w:ascii="Arial" w:eastAsiaTheme="minorEastAsia" w:hAnsi="Arial"/>
      <w:sz w:val="24"/>
      <w:lang w:eastAsia="es-CO"/>
    </w:rPr>
  </w:style>
  <w:style w:type="paragraph" w:styleId="Textodeglobo">
    <w:name w:val="Balloon Text"/>
    <w:basedOn w:val="Normal"/>
    <w:link w:val="TextodegloboCar"/>
    <w:uiPriority w:val="99"/>
    <w:semiHidden/>
    <w:unhideWhenUsed/>
    <w:rsid w:val="00A505A1"/>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05A1"/>
    <w:rPr>
      <w:rFonts w:ascii="Segoe UI" w:eastAsiaTheme="minorEastAsia" w:hAnsi="Segoe UI" w:cs="Segoe UI"/>
      <w:sz w:val="18"/>
      <w:szCs w:val="18"/>
      <w:lang w:eastAsia="es-CO"/>
    </w:rPr>
  </w:style>
  <w:style w:type="character" w:styleId="Hipervnculo">
    <w:name w:val="Hyperlink"/>
    <w:basedOn w:val="Fuentedeprrafopredeter"/>
    <w:uiPriority w:val="99"/>
    <w:semiHidden/>
    <w:unhideWhenUsed/>
    <w:rsid w:val="003A2A93"/>
    <w:rPr>
      <w:color w:val="0000FF"/>
      <w:u w:val="single"/>
    </w:rPr>
  </w:style>
  <w:style w:type="table" w:styleId="Tablaconcuadrcula">
    <w:name w:val="Table Grid"/>
    <w:basedOn w:val="Tablanormal"/>
    <w:uiPriority w:val="39"/>
    <w:rsid w:val="00BC5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245A46"/>
    <w:rPr>
      <w:sz w:val="16"/>
      <w:szCs w:val="16"/>
    </w:rPr>
  </w:style>
  <w:style w:type="paragraph" w:styleId="Textocomentario">
    <w:name w:val="annotation text"/>
    <w:basedOn w:val="Normal"/>
    <w:link w:val="TextocomentarioCar"/>
    <w:uiPriority w:val="99"/>
    <w:semiHidden/>
    <w:unhideWhenUsed/>
    <w:rsid w:val="00245A46"/>
    <w:rPr>
      <w:sz w:val="20"/>
      <w:szCs w:val="20"/>
    </w:rPr>
  </w:style>
  <w:style w:type="character" w:customStyle="1" w:styleId="TextocomentarioCar">
    <w:name w:val="Texto comentario Car"/>
    <w:basedOn w:val="Fuentedeprrafopredeter"/>
    <w:link w:val="Textocomentario"/>
    <w:uiPriority w:val="99"/>
    <w:semiHidden/>
    <w:rsid w:val="00245A46"/>
    <w:rPr>
      <w:rFonts w:ascii="Arial" w:eastAsiaTheme="minorEastAsia" w:hAnsi="Arial"/>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245A46"/>
    <w:rPr>
      <w:b/>
      <w:bCs/>
    </w:rPr>
  </w:style>
  <w:style w:type="character" w:customStyle="1" w:styleId="AsuntodelcomentarioCar">
    <w:name w:val="Asunto del comentario Car"/>
    <w:basedOn w:val="TextocomentarioCar"/>
    <w:link w:val="Asuntodelcomentario"/>
    <w:uiPriority w:val="99"/>
    <w:semiHidden/>
    <w:rsid w:val="00245A46"/>
    <w:rPr>
      <w:rFonts w:ascii="Arial" w:eastAsiaTheme="minorEastAsia" w:hAnsi="Arial"/>
      <w:b/>
      <w:bCs/>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ep.edu.co/?q=content/mapa-de-riesgos-por-proceso"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image" Target="media/image2.jpeg"/><Relationship Id="rId17" Type="http://schemas.microsoft.com/office/2016/09/relationships/commentsIds" Target="commentsId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dep.edu.co/?q=content/mapa-de-riesgos-por-proceso" TargetMode="Externa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0.jpg"/><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charts/_rels/chart1.xml.rels><?xml version="1.0" encoding="UTF-8" standalone="yes"?>
<Relationships xmlns="http://schemas.openxmlformats.org/package/2006/relationships"><Relationship Id="rId3" Type="http://schemas.openxmlformats.org/officeDocument/2006/relationships/oleObject" Target="file:///C:\Users\hymor\Desktop\MAPA%20DE%20RIESGOS\01.%20Matriz%20de%20Seguimiento\Seguimiento%20I%20Mapa%20Riesgos%20Institucional%20y%20de%20Corrupci&#243;n%20por%20Proceso%202020%20abri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r>
              <a:rPr lang="es-CO" sz="1200"/>
              <a:t>RIESGOS IDENTIFICADOS POR PROCESOS</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endParaRPr lang="es-ES"/>
        </a:p>
      </c:txPr>
    </c:title>
    <c:autoTitleDeleted val="0"/>
    <c:plotArea>
      <c:layout/>
      <c:barChart>
        <c:barDir val="bar"/>
        <c:grouping val="clustered"/>
        <c:varyColors val="0"/>
        <c:ser>
          <c:idx val="0"/>
          <c:order val="0"/>
          <c:tx>
            <c:strRef>
              <c:f>Hoja3!$B$1</c:f>
              <c:strCache>
                <c:ptCount val="1"/>
                <c:pt idx="0">
                  <c:v>GESTION </c:v>
                </c:pt>
              </c:strCache>
            </c:strRef>
          </c:tx>
          <c:spPr>
            <a:gradFill rotWithShape="1">
              <a:gsLst>
                <a:gs pos="0">
                  <a:schemeClr val="accent2">
                    <a:tint val="77000"/>
                    <a:satMod val="103000"/>
                    <a:lumMod val="102000"/>
                    <a:tint val="94000"/>
                  </a:schemeClr>
                </a:gs>
                <a:gs pos="50000">
                  <a:schemeClr val="accent2">
                    <a:tint val="77000"/>
                    <a:satMod val="110000"/>
                    <a:lumMod val="100000"/>
                    <a:shade val="100000"/>
                  </a:schemeClr>
                </a:gs>
                <a:gs pos="100000">
                  <a:schemeClr val="accent2">
                    <a:tint val="77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Hoja3!$A$2:$A$15</c:f>
              <c:strCache>
                <c:ptCount val="14"/>
                <c:pt idx="0">
                  <c:v>Divulgación y Comunicación</c:v>
                </c:pt>
                <c:pt idx="1">
                  <c:v>Dirección y Planeación</c:v>
                </c:pt>
                <c:pt idx="2">
                  <c:v>Atención al Ciudadano</c:v>
                </c:pt>
                <c:pt idx="3">
                  <c:v>Investigación y Desarrollo Pedagógico</c:v>
                </c:pt>
                <c:pt idx="4">
                  <c:v>Gestión Documental</c:v>
                </c:pt>
                <c:pt idx="5">
                  <c:v>Gestión Contractual</c:v>
                </c:pt>
                <c:pt idx="6">
                  <c:v>Gestión Jurídica</c:v>
                </c:pt>
                <c:pt idx="7">
                  <c:v>Gestión de Recursos Físicos y Ambiental</c:v>
                </c:pt>
                <c:pt idx="8">
                  <c:v>Gestión Tecnológica</c:v>
                </c:pt>
                <c:pt idx="9">
                  <c:v>Gestión de Talento Humano</c:v>
                </c:pt>
                <c:pt idx="10">
                  <c:v>Gestión Financiera</c:v>
                </c:pt>
                <c:pt idx="11">
                  <c:v>Control Interno Disciplinario</c:v>
                </c:pt>
                <c:pt idx="12">
                  <c:v>Evaluación y Control</c:v>
                </c:pt>
                <c:pt idx="13">
                  <c:v>Mejoramiento Integral y Continuo</c:v>
                </c:pt>
              </c:strCache>
            </c:strRef>
          </c:cat>
          <c:val>
            <c:numRef>
              <c:f>Hoja3!$B$2:$B$15</c:f>
              <c:numCache>
                <c:formatCode>General</c:formatCode>
                <c:ptCount val="14"/>
                <c:pt idx="0">
                  <c:v>3</c:v>
                </c:pt>
                <c:pt idx="1">
                  <c:v>1</c:v>
                </c:pt>
                <c:pt idx="2">
                  <c:v>3</c:v>
                </c:pt>
                <c:pt idx="3">
                  <c:v>6</c:v>
                </c:pt>
                <c:pt idx="4">
                  <c:v>3</c:v>
                </c:pt>
                <c:pt idx="5">
                  <c:v>12</c:v>
                </c:pt>
                <c:pt idx="6">
                  <c:v>1</c:v>
                </c:pt>
                <c:pt idx="7">
                  <c:v>3</c:v>
                </c:pt>
                <c:pt idx="8">
                  <c:v>4</c:v>
                </c:pt>
                <c:pt idx="9">
                  <c:v>6</c:v>
                </c:pt>
                <c:pt idx="10">
                  <c:v>5</c:v>
                </c:pt>
                <c:pt idx="11">
                  <c:v>0</c:v>
                </c:pt>
                <c:pt idx="12">
                  <c:v>1</c:v>
                </c:pt>
                <c:pt idx="13">
                  <c:v>2</c:v>
                </c:pt>
              </c:numCache>
            </c:numRef>
          </c:val>
          <c:extLst xmlns:c16r2="http://schemas.microsoft.com/office/drawing/2015/06/chart">
            <c:ext xmlns:c16="http://schemas.microsoft.com/office/drawing/2014/chart" uri="{C3380CC4-5D6E-409C-BE32-E72D297353CC}">
              <c16:uniqueId val="{00000000-884B-4CB8-A53E-33BDD91D6E27}"/>
            </c:ext>
          </c:extLst>
        </c:ser>
        <c:ser>
          <c:idx val="1"/>
          <c:order val="1"/>
          <c:tx>
            <c:strRef>
              <c:f>Hoja3!$C$1</c:f>
              <c:strCache>
                <c:ptCount val="1"/>
                <c:pt idx="0">
                  <c:v>CORRUPCIÓN</c:v>
                </c:pt>
              </c:strCache>
            </c:strRef>
          </c:tx>
          <c:spPr>
            <a:gradFill rotWithShape="1">
              <a:gsLst>
                <a:gs pos="0">
                  <a:schemeClr val="accent2">
                    <a:shade val="76000"/>
                    <a:satMod val="103000"/>
                    <a:lumMod val="102000"/>
                    <a:tint val="94000"/>
                  </a:schemeClr>
                </a:gs>
                <a:gs pos="50000">
                  <a:schemeClr val="accent2">
                    <a:shade val="76000"/>
                    <a:satMod val="110000"/>
                    <a:lumMod val="100000"/>
                    <a:shade val="100000"/>
                  </a:schemeClr>
                </a:gs>
                <a:gs pos="100000">
                  <a:schemeClr val="accent2">
                    <a:shade val="76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Hoja3!$A$2:$A$15</c:f>
              <c:strCache>
                <c:ptCount val="14"/>
                <c:pt idx="0">
                  <c:v>Divulgación y Comunicación</c:v>
                </c:pt>
                <c:pt idx="1">
                  <c:v>Dirección y Planeación</c:v>
                </c:pt>
                <c:pt idx="2">
                  <c:v>Atención al Ciudadano</c:v>
                </c:pt>
                <c:pt idx="3">
                  <c:v>Investigación y Desarrollo Pedagógico</c:v>
                </c:pt>
                <c:pt idx="4">
                  <c:v>Gestión Documental</c:v>
                </c:pt>
                <c:pt idx="5">
                  <c:v>Gestión Contractual</c:v>
                </c:pt>
                <c:pt idx="6">
                  <c:v>Gestión Jurídica</c:v>
                </c:pt>
                <c:pt idx="7">
                  <c:v>Gestión de Recursos Físicos y Ambiental</c:v>
                </c:pt>
                <c:pt idx="8">
                  <c:v>Gestión Tecnológica</c:v>
                </c:pt>
                <c:pt idx="9">
                  <c:v>Gestión de Talento Humano</c:v>
                </c:pt>
                <c:pt idx="10">
                  <c:v>Gestión Financiera</c:v>
                </c:pt>
                <c:pt idx="11">
                  <c:v>Control Interno Disciplinario</c:v>
                </c:pt>
                <c:pt idx="12">
                  <c:v>Evaluación y Control</c:v>
                </c:pt>
                <c:pt idx="13">
                  <c:v>Mejoramiento Integral y Continuo</c:v>
                </c:pt>
              </c:strCache>
            </c:strRef>
          </c:cat>
          <c:val>
            <c:numRef>
              <c:f>Hoja3!$C$2:$C$15</c:f>
              <c:numCache>
                <c:formatCode>General</c:formatCode>
                <c:ptCount val="14"/>
                <c:pt idx="0">
                  <c:v>2</c:v>
                </c:pt>
                <c:pt idx="1">
                  <c:v>0</c:v>
                </c:pt>
                <c:pt idx="2">
                  <c:v>1</c:v>
                </c:pt>
                <c:pt idx="3">
                  <c:v>1</c:v>
                </c:pt>
                <c:pt idx="4">
                  <c:v>1</c:v>
                </c:pt>
                <c:pt idx="5">
                  <c:v>4</c:v>
                </c:pt>
                <c:pt idx="6">
                  <c:v>1</c:v>
                </c:pt>
                <c:pt idx="7">
                  <c:v>0</c:v>
                </c:pt>
                <c:pt idx="8">
                  <c:v>0</c:v>
                </c:pt>
                <c:pt idx="9">
                  <c:v>0</c:v>
                </c:pt>
                <c:pt idx="10">
                  <c:v>1</c:v>
                </c:pt>
                <c:pt idx="11">
                  <c:v>1</c:v>
                </c:pt>
                <c:pt idx="12">
                  <c:v>1</c:v>
                </c:pt>
                <c:pt idx="13">
                  <c:v>0</c:v>
                </c:pt>
              </c:numCache>
            </c:numRef>
          </c:val>
          <c:extLst xmlns:c16r2="http://schemas.microsoft.com/office/drawing/2015/06/chart">
            <c:ext xmlns:c16="http://schemas.microsoft.com/office/drawing/2014/chart" uri="{C3380CC4-5D6E-409C-BE32-E72D297353CC}">
              <c16:uniqueId val="{00000001-884B-4CB8-A53E-33BDD91D6E27}"/>
            </c:ext>
          </c:extLst>
        </c:ser>
        <c:dLbls>
          <c:showLegendKey val="0"/>
          <c:showVal val="1"/>
          <c:showCatName val="0"/>
          <c:showSerName val="0"/>
          <c:showPercent val="0"/>
          <c:showBubbleSize val="0"/>
        </c:dLbls>
        <c:gapWidth val="150"/>
        <c:overlap val="-25"/>
        <c:axId val="137825840"/>
        <c:axId val="137827408"/>
      </c:barChart>
      <c:catAx>
        <c:axId val="137825840"/>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ES"/>
          </a:p>
        </c:txPr>
        <c:crossAx val="137827408"/>
        <c:crosses val="autoZero"/>
        <c:auto val="1"/>
        <c:lblAlgn val="ctr"/>
        <c:lblOffset val="100"/>
        <c:noMultiLvlLbl val="0"/>
      </c:catAx>
      <c:valAx>
        <c:axId val="137827408"/>
        <c:scaling>
          <c:orientation val="minMax"/>
        </c:scaling>
        <c:delete val="1"/>
        <c:axPos val="b"/>
        <c:numFmt formatCode="General" sourceLinked="1"/>
        <c:majorTickMark val="none"/>
        <c:minorTickMark val="none"/>
        <c:tickLblPos val="nextTo"/>
        <c:crossAx val="137825840"/>
        <c:crosses val="autoZero"/>
        <c:crossBetween val="between"/>
      </c:valAx>
      <c:spPr>
        <a:noFill/>
        <a:ln w="25400">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E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Hoja1!$D$14</c:f>
              <c:strCache>
                <c:ptCount val="1"/>
                <c:pt idx="0">
                  <c:v>Proceso</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Hoja1!$C$15:$C$18</c:f>
              <c:strCache>
                <c:ptCount val="4"/>
                <c:pt idx="0">
                  <c:v>Extrema</c:v>
                </c:pt>
                <c:pt idx="1">
                  <c:v>Alta</c:v>
                </c:pt>
                <c:pt idx="2">
                  <c:v>Moderada</c:v>
                </c:pt>
                <c:pt idx="3">
                  <c:v>Baja</c:v>
                </c:pt>
              </c:strCache>
            </c:strRef>
          </c:cat>
          <c:val>
            <c:numRef>
              <c:f>Hoja1!$D$15:$D$18</c:f>
              <c:numCache>
                <c:formatCode>General</c:formatCode>
                <c:ptCount val="4"/>
                <c:pt idx="0">
                  <c:v>0</c:v>
                </c:pt>
                <c:pt idx="1">
                  <c:v>9</c:v>
                </c:pt>
                <c:pt idx="2">
                  <c:v>10</c:v>
                </c:pt>
                <c:pt idx="3">
                  <c:v>30</c:v>
                </c:pt>
              </c:numCache>
            </c:numRef>
          </c:val>
        </c:ser>
        <c:ser>
          <c:idx val="1"/>
          <c:order val="1"/>
          <c:tx>
            <c:strRef>
              <c:f>Hoja1!$E$14</c:f>
              <c:strCache>
                <c:ptCount val="1"/>
                <c:pt idx="0">
                  <c:v>Corrupción</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Hoja1!$C$15:$C$18</c:f>
              <c:strCache>
                <c:ptCount val="4"/>
                <c:pt idx="0">
                  <c:v>Extrema</c:v>
                </c:pt>
                <c:pt idx="1">
                  <c:v>Alta</c:v>
                </c:pt>
                <c:pt idx="2">
                  <c:v>Moderada</c:v>
                </c:pt>
                <c:pt idx="3">
                  <c:v>Baja</c:v>
                </c:pt>
              </c:strCache>
            </c:strRef>
          </c:cat>
          <c:val>
            <c:numRef>
              <c:f>Hoja1!$E$15:$E$18</c:f>
              <c:numCache>
                <c:formatCode>General</c:formatCode>
                <c:ptCount val="4"/>
                <c:pt idx="0">
                  <c:v>0</c:v>
                </c:pt>
                <c:pt idx="1">
                  <c:v>3</c:v>
                </c:pt>
                <c:pt idx="2">
                  <c:v>10</c:v>
                </c:pt>
              </c:numCache>
            </c:numRef>
          </c:val>
        </c:ser>
        <c:dLbls>
          <c:showLegendKey val="0"/>
          <c:showVal val="0"/>
          <c:showCatName val="0"/>
          <c:showSerName val="0"/>
          <c:showPercent val="0"/>
          <c:showBubbleSize val="0"/>
        </c:dLbls>
        <c:gapWidth val="219"/>
        <c:overlap val="-27"/>
        <c:axId val="137824664"/>
        <c:axId val="137827800"/>
      </c:barChart>
      <c:catAx>
        <c:axId val="137824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37827800"/>
        <c:crosses val="autoZero"/>
        <c:auto val="1"/>
        <c:lblAlgn val="ctr"/>
        <c:lblOffset val="100"/>
        <c:noMultiLvlLbl val="0"/>
      </c:catAx>
      <c:valAx>
        <c:axId val="137827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37824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1900</Words>
  <Characters>10454</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hilda yamile morales laverde</dc:creator>
  <cp:keywords/>
  <dc:description/>
  <cp:lastModifiedBy>Idep</cp:lastModifiedBy>
  <cp:revision>2</cp:revision>
  <cp:lastPrinted>2020-05-28T00:03:00Z</cp:lastPrinted>
  <dcterms:created xsi:type="dcterms:W3CDTF">2021-01-13T14:25:00Z</dcterms:created>
  <dcterms:modified xsi:type="dcterms:W3CDTF">2021-01-13T14:25:00Z</dcterms:modified>
</cp:coreProperties>
</file>