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01E56" w14:textId="77777777" w:rsidR="0054023F" w:rsidRPr="00433A17" w:rsidRDefault="0054023F">
      <w:pPr>
        <w:pStyle w:val="Textoindependiente"/>
        <w:spacing w:before="1" w:after="1"/>
        <w:rPr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Spec="right" w:tblpY="62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2"/>
        <w:gridCol w:w="2268"/>
        <w:gridCol w:w="2126"/>
        <w:gridCol w:w="7362"/>
        <w:gridCol w:w="1398"/>
        <w:gridCol w:w="1449"/>
      </w:tblGrid>
      <w:tr w:rsidR="0054023F" w:rsidRPr="00433A17" w14:paraId="5409B1FA" w14:textId="77777777" w:rsidTr="00433A17">
        <w:trPr>
          <w:trHeight w:val="515"/>
          <w:jc w:val="right"/>
        </w:trPr>
        <w:tc>
          <w:tcPr>
            <w:tcW w:w="0" w:type="auto"/>
            <w:gridSpan w:val="6"/>
          </w:tcPr>
          <w:p w14:paraId="639486F1" w14:textId="5E4AFB67" w:rsidR="0054023F" w:rsidRPr="00433A17" w:rsidRDefault="0054023F" w:rsidP="00433A17">
            <w:pPr>
              <w:pStyle w:val="TableParagraph"/>
              <w:spacing w:before="104"/>
              <w:ind w:left="5691" w:right="5682"/>
              <w:jc w:val="center"/>
              <w:rPr>
                <w:b/>
                <w:sz w:val="20"/>
                <w:szCs w:val="20"/>
              </w:rPr>
            </w:pPr>
            <w:r w:rsidRPr="00433A17">
              <w:rPr>
                <w:b/>
                <w:sz w:val="20"/>
                <w:szCs w:val="20"/>
              </w:rPr>
              <w:t xml:space="preserve">INFORME DE DEFENSA JUDICIAL VIGENTE </w:t>
            </w:r>
            <w:r w:rsidR="009718A0">
              <w:rPr>
                <w:b/>
                <w:sz w:val="20"/>
                <w:szCs w:val="20"/>
              </w:rPr>
              <w:t>1</w:t>
            </w:r>
            <w:r w:rsidR="00CD50C1">
              <w:rPr>
                <w:b/>
                <w:sz w:val="20"/>
                <w:szCs w:val="20"/>
              </w:rPr>
              <w:t>2</w:t>
            </w:r>
            <w:r w:rsidRPr="00433A17">
              <w:rPr>
                <w:b/>
                <w:sz w:val="20"/>
                <w:szCs w:val="20"/>
              </w:rPr>
              <w:t>/0</w:t>
            </w:r>
            <w:r w:rsidR="00CD50C1">
              <w:rPr>
                <w:b/>
                <w:sz w:val="20"/>
                <w:szCs w:val="20"/>
              </w:rPr>
              <w:t>9</w:t>
            </w:r>
            <w:r w:rsidRPr="00433A17">
              <w:rPr>
                <w:b/>
                <w:sz w:val="20"/>
                <w:szCs w:val="20"/>
              </w:rPr>
              <w:t>/2021.</w:t>
            </w:r>
          </w:p>
        </w:tc>
      </w:tr>
      <w:tr w:rsidR="0054023F" w:rsidRPr="00433A17" w14:paraId="310E15B1" w14:textId="77777777" w:rsidTr="00433A17">
        <w:trPr>
          <w:trHeight w:val="782"/>
          <w:jc w:val="right"/>
        </w:trPr>
        <w:tc>
          <w:tcPr>
            <w:tcW w:w="2122" w:type="dxa"/>
            <w:vAlign w:val="center"/>
          </w:tcPr>
          <w:p w14:paraId="12FDA947" w14:textId="77777777" w:rsidR="0054023F" w:rsidRPr="00433A17" w:rsidRDefault="0054023F" w:rsidP="00433A17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433A17">
              <w:rPr>
                <w:b/>
                <w:sz w:val="20"/>
                <w:szCs w:val="20"/>
              </w:rPr>
              <w:t>N. DE DEMANDAS/ DENUNCIAS</w:t>
            </w:r>
          </w:p>
        </w:tc>
        <w:tc>
          <w:tcPr>
            <w:tcW w:w="2268" w:type="dxa"/>
            <w:vAlign w:val="center"/>
          </w:tcPr>
          <w:p w14:paraId="2853BA06" w14:textId="77777777" w:rsidR="0054023F" w:rsidRPr="00433A17" w:rsidRDefault="0054023F" w:rsidP="00433A17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433A17">
              <w:rPr>
                <w:b/>
                <w:sz w:val="20"/>
                <w:szCs w:val="20"/>
              </w:rPr>
              <w:t>DEMANDANTE/ DENUNCIANTE</w:t>
            </w:r>
          </w:p>
        </w:tc>
        <w:tc>
          <w:tcPr>
            <w:tcW w:w="2126" w:type="dxa"/>
            <w:vAlign w:val="center"/>
          </w:tcPr>
          <w:p w14:paraId="2F14389F" w14:textId="2CD2ADC3" w:rsidR="0054023F" w:rsidRPr="00433A17" w:rsidRDefault="008830B0" w:rsidP="00433A17">
            <w:pPr>
              <w:pStyle w:val="TableParagraph"/>
              <w:ind w:left="0" w:right="529"/>
              <w:jc w:val="center"/>
              <w:rPr>
                <w:b/>
                <w:sz w:val="20"/>
                <w:szCs w:val="20"/>
              </w:rPr>
            </w:pPr>
            <w:r w:rsidRPr="00433A17">
              <w:rPr>
                <w:b/>
                <w:sz w:val="20"/>
                <w:szCs w:val="20"/>
              </w:rPr>
              <w:t xml:space="preserve">DEMANDADO / </w:t>
            </w:r>
            <w:r w:rsidR="0054023F" w:rsidRPr="00433A17">
              <w:rPr>
                <w:b/>
                <w:sz w:val="20"/>
                <w:szCs w:val="20"/>
              </w:rPr>
              <w:t>DENUNCIADO</w:t>
            </w:r>
          </w:p>
        </w:tc>
        <w:tc>
          <w:tcPr>
            <w:tcW w:w="7630" w:type="dxa"/>
            <w:vAlign w:val="center"/>
          </w:tcPr>
          <w:p w14:paraId="35CCE755" w14:textId="77777777" w:rsidR="0054023F" w:rsidRPr="00433A17" w:rsidRDefault="0054023F" w:rsidP="00433A17">
            <w:pPr>
              <w:pStyle w:val="TableParagraph"/>
              <w:ind w:left="0" w:right="413"/>
              <w:jc w:val="center"/>
              <w:rPr>
                <w:b/>
                <w:sz w:val="20"/>
                <w:szCs w:val="20"/>
              </w:rPr>
            </w:pPr>
            <w:r w:rsidRPr="00433A17">
              <w:rPr>
                <w:b/>
                <w:sz w:val="20"/>
                <w:szCs w:val="20"/>
              </w:rPr>
              <w:t>ESTADO</w:t>
            </w:r>
          </w:p>
        </w:tc>
        <w:tc>
          <w:tcPr>
            <w:tcW w:w="0" w:type="auto"/>
            <w:vAlign w:val="center"/>
          </w:tcPr>
          <w:p w14:paraId="10D36ADE" w14:textId="77777777" w:rsidR="0054023F" w:rsidRPr="00433A17" w:rsidRDefault="0054023F" w:rsidP="00A672F4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433A17">
              <w:rPr>
                <w:b/>
                <w:sz w:val="20"/>
                <w:szCs w:val="20"/>
              </w:rPr>
              <w:t>CUANTÍA</w:t>
            </w:r>
          </w:p>
        </w:tc>
        <w:tc>
          <w:tcPr>
            <w:tcW w:w="0" w:type="auto"/>
            <w:vAlign w:val="center"/>
          </w:tcPr>
          <w:p w14:paraId="19B788F6" w14:textId="77777777" w:rsidR="0054023F" w:rsidRPr="00433A17" w:rsidRDefault="0054023F" w:rsidP="00A672F4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433A17">
              <w:rPr>
                <w:b/>
                <w:sz w:val="20"/>
                <w:szCs w:val="20"/>
              </w:rPr>
              <w:t>RIESGO DE PERDIDA</w:t>
            </w:r>
          </w:p>
        </w:tc>
      </w:tr>
      <w:tr w:rsidR="0054023F" w:rsidRPr="00433A17" w14:paraId="75507574" w14:textId="77777777" w:rsidTr="00433A17">
        <w:trPr>
          <w:trHeight w:val="1399"/>
          <w:jc w:val="right"/>
        </w:trPr>
        <w:tc>
          <w:tcPr>
            <w:tcW w:w="2122" w:type="dxa"/>
          </w:tcPr>
          <w:p w14:paraId="0462F65B" w14:textId="77777777" w:rsidR="0054023F" w:rsidRPr="00433A17" w:rsidRDefault="0054023F" w:rsidP="00433A17">
            <w:pPr>
              <w:pStyle w:val="TableParagraph"/>
              <w:spacing w:before="141"/>
              <w:ind w:left="107"/>
              <w:rPr>
                <w:b/>
                <w:sz w:val="20"/>
                <w:szCs w:val="20"/>
              </w:rPr>
            </w:pPr>
            <w:r w:rsidRPr="00433A17">
              <w:rPr>
                <w:b/>
                <w:w w:val="95"/>
                <w:sz w:val="20"/>
                <w:szCs w:val="20"/>
              </w:rPr>
              <w:t xml:space="preserve">1. </w:t>
            </w:r>
            <w:r w:rsidRPr="00433A17">
              <w:rPr>
                <w:sz w:val="20"/>
                <w:szCs w:val="20"/>
              </w:rPr>
              <w:t>Proceso Ejecutivo Singular De Mayor Cuantía (Derivado De Una Acción De Repetición)</w:t>
            </w:r>
          </w:p>
        </w:tc>
        <w:tc>
          <w:tcPr>
            <w:tcW w:w="2268" w:type="dxa"/>
          </w:tcPr>
          <w:p w14:paraId="6391A65F" w14:textId="77777777" w:rsidR="0054023F" w:rsidRPr="00433A17" w:rsidRDefault="0054023F" w:rsidP="00433A17">
            <w:pPr>
              <w:pStyle w:val="TableParagraph"/>
              <w:spacing w:before="106"/>
              <w:ind w:left="105" w:right="87"/>
              <w:rPr>
                <w:sz w:val="20"/>
                <w:szCs w:val="20"/>
              </w:rPr>
            </w:pPr>
            <w:r w:rsidRPr="00433A17">
              <w:rPr>
                <w:sz w:val="20"/>
                <w:szCs w:val="20"/>
              </w:rPr>
              <w:t xml:space="preserve">Instituto para la investigación Educativa y el Desarrollo Pedagógico – </w:t>
            </w:r>
            <w:proofErr w:type="spellStart"/>
            <w:r w:rsidRPr="00433A17">
              <w:rPr>
                <w:sz w:val="20"/>
                <w:szCs w:val="20"/>
              </w:rPr>
              <w:t>IDEP</w:t>
            </w:r>
            <w:proofErr w:type="spellEnd"/>
            <w:r w:rsidRPr="00433A17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65A875E2" w14:textId="77777777" w:rsidR="0054023F" w:rsidRPr="00433A17" w:rsidRDefault="0054023F" w:rsidP="00433A17">
            <w:pPr>
              <w:pStyle w:val="TableParagraph"/>
              <w:spacing w:before="106"/>
              <w:ind w:right="359"/>
              <w:rPr>
                <w:sz w:val="20"/>
                <w:szCs w:val="20"/>
              </w:rPr>
            </w:pPr>
            <w:r w:rsidRPr="00433A17">
              <w:rPr>
                <w:sz w:val="20"/>
                <w:szCs w:val="20"/>
              </w:rPr>
              <w:t>María Magdalena Morales Sarmiento</w:t>
            </w:r>
          </w:p>
        </w:tc>
        <w:tc>
          <w:tcPr>
            <w:tcW w:w="7630" w:type="dxa"/>
          </w:tcPr>
          <w:p w14:paraId="20B11CB9" w14:textId="77777777" w:rsidR="0033472D" w:rsidRPr="0033472D" w:rsidRDefault="0033472D" w:rsidP="0033472D">
            <w:pPr>
              <w:jc w:val="both"/>
              <w:rPr>
                <w:rFonts w:eastAsia="Calibri"/>
                <w:bCs/>
                <w:sz w:val="20"/>
                <w:szCs w:val="20"/>
                <w:lang w:eastAsia="en-US" w:bidi="ar-SA"/>
              </w:rPr>
            </w:pPr>
            <w:r w:rsidRPr="0033472D">
              <w:rPr>
                <w:bCs/>
                <w:sz w:val="20"/>
                <w:szCs w:val="20"/>
              </w:rPr>
              <w:t xml:space="preserve">Dentro del proceso 2004-00576-01, en atención a la respuesta la </w:t>
            </w:r>
            <w:proofErr w:type="spellStart"/>
            <w:r w:rsidRPr="0033472D">
              <w:rPr>
                <w:bCs/>
                <w:sz w:val="20"/>
                <w:szCs w:val="20"/>
              </w:rPr>
              <w:t>EPS</w:t>
            </w:r>
            <w:proofErr w:type="spellEnd"/>
            <w:r w:rsidRPr="0033472D">
              <w:rPr>
                <w:bCs/>
                <w:sz w:val="20"/>
                <w:szCs w:val="20"/>
              </w:rPr>
              <w:t xml:space="preserve"> SANITAS</w:t>
            </w:r>
            <w:r w:rsidRPr="0033472D">
              <w:rPr>
                <w:sz w:val="20"/>
                <w:szCs w:val="20"/>
              </w:rPr>
              <w:t xml:space="preserve"> </w:t>
            </w:r>
            <w:r w:rsidRPr="0033472D">
              <w:rPr>
                <w:bCs/>
                <w:sz w:val="20"/>
                <w:szCs w:val="20"/>
              </w:rPr>
              <w:t>donde informan que la dirección de domicilio de la demandada se encuentra en la Carrera 80 No. 156-95 de Bogotá, el día 17 de agosto se solicitó al despacho:</w:t>
            </w:r>
          </w:p>
          <w:p w14:paraId="45A7B12F" w14:textId="77777777" w:rsidR="0033472D" w:rsidRPr="0033472D" w:rsidRDefault="0033472D" w:rsidP="0033472D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33472D">
              <w:rPr>
                <w:bCs/>
                <w:i/>
                <w:iCs/>
                <w:sz w:val="20"/>
                <w:szCs w:val="20"/>
              </w:rPr>
              <w:t>“(…) ordenar el decreto y práctica de la siguiente medida cautelar:</w:t>
            </w:r>
          </w:p>
          <w:p w14:paraId="4D4538F5" w14:textId="77777777" w:rsidR="0033472D" w:rsidRPr="0033472D" w:rsidRDefault="0033472D" w:rsidP="0033472D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33472D">
              <w:rPr>
                <w:bCs/>
                <w:i/>
                <w:iCs/>
                <w:sz w:val="20"/>
                <w:szCs w:val="20"/>
              </w:rPr>
              <w:t>El EMBARGO Y SECUESTRO de los bienes muebles y enseres que se denuncien como de propiedad y posesión de la demandada MAGDALENA MORALES SARMIENTO (MAGDALENA GRANES MORALES) identificada con cédula de ciudadanía 41.420.267 que se encuentren localizados en la carrera 80 No. 156-95 de Bogotá D.C. (…)”.</w:t>
            </w:r>
            <w:bookmarkStart w:id="0" w:name="_GoBack"/>
            <w:bookmarkEnd w:id="0"/>
          </w:p>
          <w:p w14:paraId="73A6E385" w14:textId="77777777" w:rsidR="0033472D" w:rsidRPr="0033472D" w:rsidRDefault="0033472D" w:rsidP="0033472D">
            <w:pPr>
              <w:jc w:val="both"/>
              <w:rPr>
                <w:sz w:val="20"/>
                <w:szCs w:val="20"/>
              </w:rPr>
            </w:pPr>
            <w:r w:rsidRPr="0033472D">
              <w:rPr>
                <w:sz w:val="20"/>
                <w:szCs w:val="20"/>
              </w:rPr>
              <w:t>Mediante auto de fecha 02 de septiembre de 2021 se decreta la medida cautelar de embargo y secuestro de muebles y enseres.</w:t>
            </w:r>
          </w:p>
          <w:p w14:paraId="64736152" w14:textId="77777777" w:rsidR="0033472D" w:rsidRPr="0033472D" w:rsidRDefault="0033472D" w:rsidP="0033472D">
            <w:pPr>
              <w:jc w:val="both"/>
              <w:rPr>
                <w:sz w:val="20"/>
                <w:szCs w:val="20"/>
              </w:rPr>
            </w:pPr>
          </w:p>
          <w:p w14:paraId="3969784E" w14:textId="77777777" w:rsidR="0033472D" w:rsidRPr="0033472D" w:rsidRDefault="0033472D" w:rsidP="0033472D">
            <w:pPr>
              <w:jc w:val="both"/>
              <w:rPr>
                <w:sz w:val="20"/>
                <w:szCs w:val="20"/>
              </w:rPr>
            </w:pPr>
            <w:r w:rsidRPr="0033472D">
              <w:rPr>
                <w:sz w:val="20"/>
                <w:szCs w:val="20"/>
              </w:rPr>
              <w:t>El 09 de septiembre de 2021 se elabora oficio de despacho comisorio No. 0515 Secuestro.</w:t>
            </w:r>
          </w:p>
          <w:p w14:paraId="1E39294C" w14:textId="77777777" w:rsidR="0033472D" w:rsidRPr="0033472D" w:rsidRDefault="0033472D" w:rsidP="0033472D">
            <w:pPr>
              <w:jc w:val="both"/>
              <w:rPr>
                <w:sz w:val="20"/>
                <w:szCs w:val="20"/>
              </w:rPr>
            </w:pPr>
          </w:p>
          <w:p w14:paraId="3133ABDE" w14:textId="1066D1BF" w:rsidR="00AC222D" w:rsidRPr="0033472D" w:rsidRDefault="0033472D" w:rsidP="0033472D">
            <w:pPr>
              <w:jc w:val="both"/>
              <w:rPr>
                <w:sz w:val="21"/>
                <w:szCs w:val="21"/>
              </w:rPr>
            </w:pPr>
            <w:r w:rsidRPr="0033472D">
              <w:rPr>
                <w:sz w:val="20"/>
                <w:szCs w:val="20"/>
              </w:rPr>
              <w:t>La abogada CAMILA ANDREA BERNAL RODRÍGUEZ cedió contrato a partir del 01 de agosto de 2021 a la abogada GISELA GARCÍA COLORADO, por lo que se están realizando los trámites de revocatoria de poder para presentar al despacho con los respectivos paz y salvos.</w:t>
            </w:r>
          </w:p>
        </w:tc>
        <w:tc>
          <w:tcPr>
            <w:tcW w:w="0" w:type="auto"/>
          </w:tcPr>
          <w:p w14:paraId="26553D31" w14:textId="77777777" w:rsidR="0054023F" w:rsidRPr="00433A17" w:rsidRDefault="0054023F" w:rsidP="00A672F4">
            <w:pPr>
              <w:pStyle w:val="TableParagraph"/>
              <w:spacing w:before="106"/>
              <w:jc w:val="center"/>
              <w:rPr>
                <w:sz w:val="20"/>
                <w:szCs w:val="20"/>
              </w:rPr>
            </w:pPr>
            <w:r w:rsidRPr="00433A17">
              <w:rPr>
                <w:sz w:val="20"/>
                <w:szCs w:val="20"/>
              </w:rPr>
              <w:t>$ 705.168.401</w:t>
            </w:r>
          </w:p>
        </w:tc>
        <w:tc>
          <w:tcPr>
            <w:tcW w:w="0" w:type="auto"/>
          </w:tcPr>
          <w:p w14:paraId="2F19369A" w14:textId="77777777" w:rsidR="0054023F" w:rsidRPr="00433A17" w:rsidRDefault="0054023F" w:rsidP="00A672F4">
            <w:pPr>
              <w:pStyle w:val="TableParagraph"/>
              <w:spacing w:before="99"/>
              <w:jc w:val="center"/>
              <w:rPr>
                <w:sz w:val="20"/>
                <w:szCs w:val="20"/>
              </w:rPr>
            </w:pPr>
            <w:r w:rsidRPr="00433A17">
              <w:rPr>
                <w:sz w:val="20"/>
                <w:szCs w:val="20"/>
              </w:rPr>
              <w:t>Bajo</w:t>
            </w:r>
          </w:p>
        </w:tc>
      </w:tr>
      <w:tr w:rsidR="0054023F" w:rsidRPr="00433A17" w14:paraId="3F61C615" w14:textId="77777777" w:rsidTr="00433A17">
        <w:trPr>
          <w:trHeight w:val="473"/>
          <w:jc w:val="right"/>
        </w:trPr>
        <w:tc>
          <w:tcPr>
            <w:tcW w:w="2122" w:type="dxa"/>
          </w:tcPr>
          <w:p w14:paraId="2AB6D63B" w14:textId="77777777" w:rsidR="0054023F" w:rsidRPr="00433A17" w:rsidRDefault="0054023F" w:rsidP="00433A17">
            <w:pPr>
              <w:pStyle w:val="TableParagraph"/>
              <w:spacing w:before="138"/>
              <w:ind w:left="355" w:right="512" w:hanging="248"/>
              <w:rPr>
                <w:sz w:val="20"/>
                <w:szCs w:val="20"/>
              </w:rPr>
            </w:pPr>
            <w:r w:rsidRPr="00433A17">
              <w:rPr>
                <w:w w:val="90"/>
                <w:sz w:val="20"/>
                <w:szCs w:val="20"/>
              </w:rPr>
              <w:t xml:space="preserve">2. Proceso administrativo </w:t>
            </w:r>
            <w:r w:rsidRPr="00433A17">
              <w:rPr>
                <w:sz w:val="20"/>
                <w:szCs w:val="20"/>
              </w:rPr>
              <w:t>nulidad simple</w:t>
            </w:r>
          </w:p>
        </w:tc>
        <w:tc>
          <w:tcPr>
            <w:tcW w:w="2268" w:type="dxa"/>
          </w:tcPr>
          <w:p w14:paraId="43456F46" w14:textId="1DD58A75" w:rsidR="0054023F" w:rsidRPr="00433A17" w:rsidRDefault="00433A17" w:rsidP="00433A17">
            <w:pPr>
              <w:pStyle w:val="TableParagraph"/>
              <w:ind w:left="105"/>
              <w:rPr>
                <w:sz w:val="20"/>
                <w:szCs w:val="20"/>
              </w:rPr>
            </w:pPr>
            <w:r w:rsidRPr="00433A17">
              <w:rPr>
                <w:sz w:val="20"/>
                <w:szCs w:val="20"/>
              </w:rPr>
              <w:t>Pablo</w:t>
            </w:r>
            <w:r w:rsidR="0054023F" w:rsidRPr="00433A17">
              <w:rPr>
                <w:sz w:val="20"/>
                <w:szCs w:val="20"/>
              </w:rPr>
              <w:t xml:space="preserve"> Emilio Rodríguez </w:t>
            </w:r>
            <w:proofErr w:type="spellStart"/>
            <w:r w:rsidR="0054023F" w:rsidRPr="00433A17">
              <w:rPr>
                <w:sz w:val="20"/>
                <w:szCs w:val="20"/>
              </w:rPr>
              <w:t>Velandía</w:t>
            </w:r>
            <w:proofErr w:type="spellEnd"/>
          </w:p>
        </w:tc>
        <w:tc>
          <w:tcPr>
            <w:tcW w:w="2126" w:type="dxa"/>
          </w:tcPr>
          <w:p w14:paraId="59CAA21A" w14:textId="77777777" w:rsidR="0054023F" w:rsidRPr="00433A17" w:rsidRDefault="0054023F" w:rsidP="00433A17">
            <w:pPr>
              <w:pStyle w:val="TableParagraph"/>
              <w:rPr>
                <w:sz w:val="20"/>
                <w:szCs w:val="20"/>
              </w:rPr>
            </w:pPr>
            <w:r w:rsidRPr="00433A17">
              <w:rPr>
                <w:sz w:val="20"/>
                <w:szCs w:val="20"/>
              </w:rPr>
              <w:t xml:space="preserve">Instituto para la investigación Educativa y el Desarrollo Pedagógico – </w:t>
            </w:r>
            <w:proofErr w:type="spellStart"/>
            <w:r w:rsidRPr="00433A17">
              <w:rPr>
                <w:sz w:val="20"/>
                <w:szCs w:val="20"/>
              </w:rPr>
              <w:t>IDEP</w:t>
            </w:r>
            <w:proofErr w:type="spellEnd"/>
            <w:r w:rsidRPr="00433A17">
              <w:rPr>
                <w:sz w:val="20"/>
                <w:szCs w:val="20"/>
              </w:rPr>
              <w:t>.</w:t>
            </w:r>
          </w:p>
        </w:tc>
        <w:tc>
          <w:tcPr>
            <w:tcW w:w="7630" w:type="dxa"/>
          </w:tcPr>
          <w:p w14:paraId="362FDDF2" w14:textId="77777777" w:rsidR="0033472D" w:rsidRPr="0033472D" w:rsidRDefault="0033472D" w:rsidP="0033472D">
            <w:pPr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33472D">
              <w:rPr>
                <w:sz w:val="20"/>
                <w:szCs w:val="20"/>
              </w:rPr>
              <w:t xml:space="preserve">En el proceso de la referencia, el día 15 de febrero de 2021 ingresó al despacho el memorial radicado por la abogada CAMILA ANDREA BERNA </w:t>
            </w:r>
            <w:proofErr w:type="spellStart"/>
            <w:r w:rsidRPr="0033472D">
              <w:rPr>
                <w:sz w:val="20"/>
                <w:szCs w:val="20"/>
              </w:rPr>
              <w:t>RODRIGUEZ</w:t>
            </w:r>
            <w:proofErr w:type="spellEnd"/>
            <w:r w:rsidRPr="0033472D">
              <w:rPr>
                <w:sz w:val="20"/>
                <w:szCs w:val="20"/>
              </w:rPr>
              <w:t xml:space="preserve"> con el fin de obtener el reconocimiento de personería jurídica para actuar como apoderada del </w:t>
            </w:r>
            <w:proofErr w:type="spellStart"/>
            <w:r w:rsidRPr="0033472D">
              <w:rPr>
                <w:sz w:val="20"/>
                <w:szCs w:val="20"/>
              </w:rPr>
              <w:t>IDEP</w:t>
            </w:r>
            <w:proofErr w:type="spellEnd"/>
            <w:r w:rsidRPr="0033472D">
              <w:rPr>
                <w:sz w:val="20"/>
                <w:szCs w:val="20"/>
              </w:rPr>
              <w:t>, sin embargo, no se registra pronunciamiento alguno a la fecha por parte del Despacho de conocimiento en la página de la Rama Judicial frente a esta petición.</w:t>
            </w:r>
          </w:p>
          <w:p w14:paraId="65624EA0" w14:textId="77777777" w:rsidR="0033472D" w:rsidRPr="0033472D" w:rsidRDefault="0033472D" w:rsidP="0033472D">
            <w:pPr>
              <w:jc w:val="both"/>
              <w:rPr>
                <w:sz w:val="20"/>
                <w:szCs w:val="20"/>
              </w:rPr>
            </w:pPr>
          </w:p>
          <w:p w14:paraId="076F356F" w14:textId="77777777" w:rsidR="0033472D" w:rsidRPr="0033472D" w:rsidRDefault="0033472D" w:rsidP="0033472D">
            <w:pPr>
              <w:jc w:val="both"/>
              <w:rPr>
                <w:sz w:val="20"/>
                <w:szCs w:val="20"/>
              </w:rPr>
            </w:pPr>
            <w:r w:rsidRPr="0033472D">
              <w:rPr>
                <w:sz w:val="20"/>
                <w:szCs w:val="20"/>
              </w:rPr>
              <w:t xml:space="preserve">El 4 de agosto el despacho recibió memorial con radicado de poder de una de las partes, el cual pasa al despacho el día 10 de agosto. Así mismo, e día 12 de agosto, mediante memorial, el apoderado de la Unidad Administrativa Especial de </w:t>
            </w:r>
            <w:r w:rsidRPr="0033472D">
              <w:rPr>
                <w:sz w:val="20"/>
                <w:szCs w:val="20"/>
              </w:rPr>
              <w:lastRenderedPageBreak/>
              <w:t>Rehabilitación y Mantenimiento Vial solicita enlace del expediente virtual.</w:t>
            </w:r>
          </w:p>
          <w:p w14:paraId="5061869D" w14:textId="77777777" w:rsidR="0033472D" w:rsidRPr="0033472D" w:rsidRDefault="0033472D" w:rsidP="0033472D">
            <w:pPr>
              <w:jc w:val="both"/>
              <w:rPr>
                <w:sz w:val="20"/>
                <w:szCs w:val="20"/>
              </w:rPr>
            </w:pPr>
          </w:p>
          <w:p w14:paraId="48762414" w14:textId="77777777" w:rsidR="0033472D" w:rsidRPr="0033472D" w:rsidRDefault="0033472D" w:rsidP="0033472D">
            <w:pPr>
              <w:jc w:val="both"/>
              <w:rPr>
                <w:sz w:val="20"/>
                <w:szCs w:val="20"/>
              </w:rPr>
            </w:pPr>
            <w:r w:rsidRPr="0033472D">
              <w:rPr>
                <w:sz w:val="20"/>
                <w:szCs w:val="20"/>
              </w:rPr>
              <w:t>El 23 de agosto de 2021 se le informa al Dr. Daniel Sánchez que el proceso no se encuentra digitalizado y que su solicitud entrará al despacho para conocimiento del mismo.</w:t>
            </w:r>
          </w:p>
          <w:p w14:paraId="7752F472" w14:textId="77777777" w:rsidR="0033472D" w:rsidRPr="0033472D" w:rsidRDefault="0033472D" w:rsidP="0033472D">
            <w:pPr>
              <w:jc w:val="both"/>
              <w:rPr>
                <w:sz w:val="20"/>
                <w:szCs w:val="20"/>
              </w:rPr>
            </w:pPr>
          </w:p>
          <w:p w14:paraId="642917F7" w14:textId="6880A8FF" w:rsidR="0054023F" w:rsidRPr="0033472D" w:rsidRDefault="0033472D" w:rsidP="0033472D">
            <w:pPr>
              <w:jc w:val="both"/>
              <w:rPr>
                <w:sz w:val="20"/>
                <w:szCs w:val="20"/>
              </w:rPr>
            </w:pPr>
            <w:r w:rsidRPr="0033472D">
              <w:rPr>
                <w:sz w:val="20"/>
                <w:szCs w:val="20"/>
              </w:rPr>
              <w:t>La abogada CAMILA ANDREA BERNAL RODRÍGUEZ cedió contrato a partir del 01 de agosto de 2021 a la abogada GISELA GARCÍA COLORADO, por lo que se están realizando los trámites de revocatoria de poder para presentar al despacho con los respectivos paz y salvos.</w:t>
            </w:r>
          </w:p>
        </w:tc>
        <w:tc>
          <w:tcPr>
            <w:tcW w:w="0" w:type="auto"/>
          </w:tcPr>
          <w:p w14:paraId="178950D9" w14:textId="77777777" w:rsidR="0054023F" w:rsidRPr="00433A17" w:rsidRDefault="0054023F" w:rsidP="00A672F4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433A17">
              <w:rPr>
                <w:sz w:val="20"/>
                <w:szCs w:val="20"/>
              </w:rPr>
              <w:lastRenderedPageBreak/>
              <w:t>N.A</w:t>
            </w:r>
            <w:proofErr w:type="spellEnd"/>
            <w:r w:rsidRPr="00433A17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09EF60D0" w14:textId="77777777" w:rsidR="0054023F" w:rsidRPr="00433A17" w:rsidRDefault="0054023F" w:rsidP="00A672F4">
            <w:pPr>
              <w:pStyle w:val="TableParagraph"/>
              <w:spacing w:before="96"/>
              <w:jc w:val="center"/>
              <w:rPr>
                <w:sz w:val="20"/>
                <w:szCs w:val="20"/>
              </w:rPr>
            </w:pPr>
            <w:r w:rsidRPr="00433A17">
              <w:rPr>
                <w:sz w:val="20"/>
                <w:szCs w:val="20"/>
              </w:rPr>
              <w:t>Bajo</w:t>
            </w:r>
          </w:p>
        </w:tc>
      </w:tr>
      <w:tr w:rsidR="0054023F" w:rsidRPr="00433A17" w14:paraId="40193D3B" w14:textId="77777777" w:rsidTr="00433A17">
        <w:trPr>
          <w:trHeight w:val="416"/>
          <w:jc w:val="right"/>
        </w:trPr>
        <w:tc>
          <w:tcPr>
            <w:tcW w:w="2122" w:type="dxa"/>
          </w:tcPr>
          <w:p w14:paraId="24F8E826" w14:textId="77777777" w:rsidR="0054023F" w:rsidRPr="00433A17" w:rsidRDefault="0054023F" w:rsidP="00433A17">
            <w:pPr>
              <w:pStyle w:val="TableParagraph"/>
              <w:spacing w:before="138"/>
              <w:ind w:left="355" w:right="369" w:hanging="248"/>
              <w:rPr>
                <w:w w:val="95"/>
                <w:sz w:val="20"/>
                <w:szCs w:val="20"/>
              </w:rPr>
            </w:pPr>
            <w:r w:rsidRPr="00433A17">
              <w:rPr>
                <w:w w:val="90"/>
                <w:sz w:val="20"/>
                <w:szCs w:val="20"/>
              </w:rPr>
              <w:t xml:space="preserve">3. Proceso administrativo </w:t>
            </w:r>
            <w:r w:rsidRPr="00433A17">
              <w:rPr>
                <w:sz w:val="20"/>
                <w:szCs w:val="20"/>
              </w:rPr>
              <w:t>nulidad simple</w:t>
            </w:r>
          </w:p>
        </w:tc>
        <w:tc>
          <w:tcPr>
            <w:tcW w:w="2268" w:type="dxa"/>
          </w:tcPr>
          <w:p w14:paraId="7BEECF72" w14:textId="77777777" w:rsidR="0054023F" w:rsidRPr="00433A17" w:rsidRDefault="0054023F" w:rsidP="00433A17">
            <w:pPr>
              <w:pStyle w:val="TableParagraph"/>
              <w:ind w:left="105" w:right="87"/>
              <w:rPr>
                <w:sz w:val="20"/>
                <w:szCs w:val="20"/>
              </w:rPr>
            </w:pPr>
            <w:r w:rsidRPr="00433A17">
              <w:rPr>
                <w:sz w:val="20"/>
                <w:szCs w:val="20"/>
              </w:rPr>
              <w:t xml:space="preserve">Martha </w:t>
            </w:r>
            <w:proofErr w:type="spellStart"/>
            <w:r w:rsidRPr="00433A17">
              <w:rPr>
                <w:sz w:val="20"/>
                <w:szCs w:val="20"/>
              </w:rPr>
              <w:t>Ivvete</w:t>
            </w:r>
            <w:proofErr w:type="spellEnd"/>
            <w:r w:rsidRPr="00433A17">
              <w:rPr>
                <w:sz w:val="20"/>
                <w:szCs w:val="20"/>
              </w:rPr>
              <w:t xml:space="preserve"> Ramírez Navarrete</w:t>
            </w:r>
          </w:p>
        </w:tc>
        <w:tc>
          <w:tcPr>
            <w:tcW w:w="2126" w:type="dxa"/>
          </w:tcPr>
          <w:p w14:paraId="139939DC" w14:textId="77777777" w:rsidR="0054023F" w:rsidRPr="00433A17" w:rsidRDefault="0054023F" w:rsidP="00433A17">
            <w:pPr>
              <w:pStyle w:val="TableParagraph"/>
              <w:ind w:right="491"/>
              <w:rPr>
                <w:sz w:val="20"/>
                <w:szCs w:val="20"/>
              </w:rPr>
            </w:pPr>
            <w:proofErr w:type="spellStart"/>
            <w:r w:rsidRPr="00433A17">
              <w:rPr>
                <w:sz w:val="20"/>
                <w:szCs w:val="20"/>
              </w:rPr>
              <w:t>CNSC</w:t>
            </w:r>
            <w:proofErr w:type="spellEnd"/>
            <w:r w:rsidRPr="00433A17">
              <w:rPr>
                <w:sz w:val="20"/>
                <w:szCs w:val="20"/>
              </w:rPr>
              <w:t xml:space="preserve"> y otras entidades incluyendo el Instituto para la investigación Educativa y el Desarrollo Pedagógico – </w:t>
            </w:r>
            <w:proofErr w:type="spellStart"/>
            <w:r w:rsidRPr="00433A17">
              <w:rPr>
                <w:sz w:val="20"/>
                <w:szCs w:val="20"/>
              </w:rPr>
              <w:t>IDEP</w:t>
            </w:r>
            <w:proofErr w:type="spellEnd"/>
          </w:p>
        </w:tc>
        <w:tc>
          <w:tcPr>
            <w:tcW w:w="7630" w:type="dxa"/>
          </w:tcPr>
          <w:p w14:paraId="10528A1F" w14:textId="77777777" w:rsidR="0033472D" w:rsidRPr="0033472D" w:rsidRDefault="0033472D" w:rsidP="0033472D">
            <w:pPr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33472D">
              <w:rPr>
                <w:sz w:val="20"/>
                <w:szCs w:val="20"/>
              </w:rPr>
              <w:t xml:space="preserve">El día 15 de febrero de 2021 ingreso al despacho el memorial radicado por la abogada CAMILA ANDREA BERNA </w:t>
            </w:r>
            <w:proofErr w:type="spellStart"/>
            <w:r w:rsidRPr="0033472D">
              <w:rPr>
                <w:sz w:val="20"/>
                <w:szCs w:val="20"/>
              </w:rPr>
              <w:t>RODRIGUEZ</w:t>
            </w:r>
            <w:proofErr w:type="spellEnd"/>
            <w:r w:rsidRPr="0033472D">
              <w:rPr>
                <w:sz w:val="20"/>
                <w:szCs w:val="20"/>
              </w:rPr>
              <w:t xml:space="preserve"> con el fin de obtener el reconocimiento de personería jurídica para actuar como apoderada del </w:t>
            </w:r>
            <w:proofErr w:type="spellStart"/>
            <w:r w:rsidRPr="0033472D">
              <w:rPr>
                <w:sz w:val="20"/>
                <w:szCs w:val="20"/>
              </w:rPr>
              <w:t>IDEP</w:t>
            </w:r>
            <w:proofErr w:type="spellEnd"/>
            <w:r w:rsidRPr="0033472D">
              <w:rPr>
                <w:sz w:val="20"/>
                <w:szCs w:val="20"/>
              </w:rPr>
              <w:t xml:space="preserve"> dentro del proceso de la referencia, sin embargo, no se registra pronunciamiento alguno a la fecha por parte del Despacho de conocimiento en la página de la Rama Judicial frente a esta petición. </w:t>
            </w:r>
          </w:p>
          <w:p w14:paraId="498984B4" w14:textId="77777777" w:rsidR="0033472D" w:rsidRPr="0033472D" w:rsidRDefault="0033472D" w:rsidP="0033472D">
            <w:pPr>
              <w:jc w:val="both"/>
              <w:rPr>
                <w:sz w:val="20"/>
                <w:szCs w:val="20"/>
              </w:rPr>
            </w:pPr>
          </w:p>
          <w:p w14:paraId="3BB4C522" w14:textId="77777777" w:rsidR="0033472D" w:rsidRPr="0033472D" w:rsidRDefault="0033472D" w:rsidP="0033472D">
            <w:pPr>
              <w:jc w:val="both"/>
              <w:rPr>
                <w:sz w:val="20"/>
                <w:szCs w:val="20"/>
              </w:rPr>
            </w:pPr>
            <w:r w:rsidRPr="0033472D">
              <w:rPr>
                <w:sz w:val="20"/>
                <w:szCs w:val="20"/>
              </w:rPr>
              <w:t>Adicionalmente, puede evidenciarse el registro de otras actuaciones presentados por las otras partes procesales.  El 4 de agosto el despacho recibió memorial con radicado de poder de una de las partes. Así mismo, e día 12 de agosto, mediante memorial, el apoderado de la Unidad Administrativa Especial de Rehabilitación y Mantenimiento Vial solicita enlace del expediente virtual.</w:t>
            </w:r>
          </w:p>
          <w:p w14:paraId="20FB77BB" w14:textId="77777777" w:rsidR="0033472D" w:rsidRPr="0033472D" w:rsidRDefault="0033472D" w:rsidP="0033472D">
            <w:pPr>
              <w:jc w:val="both"/>
              <w:rPr>
                <w:sz w:val="20"/>
                <w:szCs w:val="20"/>
              </w:rPr>
            </w:pPr>
          </w:p>
          <w:p w14:paraId="6A2CF442" w14:textId="77777777" w:rsidR="0033472D" w:rsidRPr="0033472D" w:rsidRDefault="0033472D" w:rsidP="0033472D">
            <w:pPr>
              <w:jc w:val="both"/>
              <w:rPr>
                <w:sz w:val="20"/>
                <w:szCs w:val="20"/>
              </w:rPr>
            </w:pPr>
            <w:r w:rsidRPr="0033472D">
              <w:rPr>
                <w:sz w:val="20"/>
                <w:szCs w:val="20"/>
              </w:rPr>
              <w:t>El 23 de agosto de 2021 se le informa al Dr. Daniel Sánchez que el proceso no se encuentra digitalizado y que su solicitud entrará al despacho para conocimiento del mismo.</w:t>
            </w:r>
          </w:p>
          <w:p w14:paraId="59A37213" w14:textId="77777777" w:rsidR="0033472D" w:rsidRPr="0033472D" w:rsidRDefault="0033472D" w:rsidP="0033472D">
            <w:pPr>
              <w:jc w:val="both"/>
              <w:rPr>
                <w:sz w:val="20"/>
                <w:szCs w:val="20"/>
              </w:rPr>
            </w:pPr>
          </w:p>
          <w:p w14:paraId="4B837A35" w14:textId="71BC68D4" w:rsidR="0054023F" w:rsidRPr="0033472D" w:rsidRDefault="0033472D" w:rsidP="0033472D">
            <w:pPr>
              <w:jc w:val="both"/>
              <w:rPr>
                <w:sz w:val="21"/>
                <w:szCs w:val="21"/>
              </w:rPr>
            </w:pPr>
            <w:r w:rsidRPr="0033472D">
              <w:rPr>
                <w:sz w:val="20"/>
                <w:szCs w:val="20"/>
              </w:rPr>
              <w:t>La abogada CAMILA ANDREA BERNAL RODRÍGUEZ cedió contrato a partir del 01 de agosto de 2021 a la abogada GISELA GARCÍA COLORADO, por lo que se están realizando los trámites de revocatoria de poder para presentar al despacho con los respectivos paz y salvos.</w:t>
            </w:r>
          </w:p>
        </w:tc>
        <w:tc>
          <w:tcPr>
            <w:tcW w:w="0" w:type="auto"/>
          </w:tcPr>
          <w:p w14:paraId="0DF432AD" w14:textId="77777777" w:rsidR="0054023F" w:rsidRPr="00433A17" w:rsidRDefault="0054023F" w:rsidP="00A672F4">
            <w:pPr>
              <w:pStyle w:val="TableParagraph"/>
              <w:jc w:val="center"/>
              <w:rPr>
                <w:sz w:val="20"/>
                <w:szCs w:val="20"/>
              </w:rPr>
            </w:pPr>
            <w:r w:rsidRPr="00433A17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6C48CE24" w14:textId="77777777" w:rsidR="0054023F" w:rsidRPr="00433A17" w:rsidRDefault="0054023F" w:rsidP="00A672F4">
            <w:pPr>
              <w:pStyle w:val="TableParagraph"/>
              <w:spacing w:before="96"/>
              <w:jc w:val="center"/>
              <w:rPr>
                <w:sz w:val="20"/>
                <w:szCs w:val="20"/>
              </w:rPr>
            </w:pPr>
            <w:r w:rsidRPr="00433A17">
              <w:rPr>
                <w:sz w:val="20"/>
                <w:szCs w:val="20"/>
              </w:rPr>
              <w:t>Bajo</w:t>
            </w:r>
          </w:p>
        </w:tc>
      </w:tr>
      <w:tr w:rsidR="0054023F" w:rsidRPr="00433A17" w14:paraId="2BF99278" w14:textId="77777777" w:rsidTr="0033472D">
        <w:trPr>
          <w:trHeight w:val="844"/>
          <w:jc w:val="right"/>
        </w:trPr>
        <w:tc>
          <w:tcPr>
            <w:tcW w:w="2122" w:type="dxa"/>
          </w:tcPr>
          <w:p w14:paraId="234EC78B" w14:textId="77777777" w:rsidR="0054023F" w:rsidRPr="00433A17" w:rsidRDefault="0054023F" w:rsidP="00433A17">
            <w:pPr>
              <w:pStyle w:val="TableParagraph"/>
              <w:spacing w:before="138"/>
              <w:ind w:left="355" w:right="512" w:hanging="248"/>
              <w:rPr>
                <w:sz w:val="20"/>
                <w:szCs w:val="20"/>
              </w:rPr>
            </w:pPr>
            <w:r w:rsidRPr="00433A17">
              <w:rPr>
                <w:w w:val="95"/>
                <w:sz w:val="20"/>
                <w:szCs w:val="20"/>
              </w:rPr>
              <w:t xml:space="preserve">4. Demanda de reparación </w:t>
            </w:r>
            <w:r w:rsidRPr="00433A17">
              <w:rPr>
                <w:sz w:val="20"/>
                <w:szCs w:val="20"/>
              </w:rPr>
              <w:t>directa</w:t>
            </w:r>
          </w:p>
        </w:tc>
        <w:tc>
          <w:tcPr>
            <w:tcW w:w="2268" w:type="dxa"/>
          </w:tcPr>
          <w:p w14:paraId="2049E16F" w14:textId="77777777" w:rsidR="0054023F" w:rsidRPr="00433A17" w:rsidRDefault="0054023F" w:rsidP="00433A17">
            <w:pPr>
              <w:pStyle w:val="TableParagraph"/>
              <w:ind w:left="105"/>
              <w:rPr>
                <w:sz w:val="20"/>
                <w:szCs w:val="20"/>
              </w:rPr>
            </w:pPr>
            <w:r w:rsidRPr="00433A17">
              <w:rPr>
                <w:sz w:val="20"/>
                <w:szCs w:val="20"/>
              </w:rPr>
              <w:t xml:space="preserve">Empresa de telecomunicaciones de Bogotá – </w:t>
            </w:r>
            <w:proofErr w:type="spellStart"/>
            <w:r w:rsidRPr="00433A17">
              <w:rPr>
                <w:sz w:val="20"/>
                <w:szCs w:val="20"/>
              </w:rPr>
              <w:t>E.T.B</w:t>
            </w:r>
            <w:proofErr w:type="spellEnd"/>
            <w:r w:rsidRPr="00433A17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4D5A332B" w14:textId="77777777" w:rsidR="0054023F" w:rsidRPr="00433A17" w:rsidRDefault="0054023F" w:rsidP="00433A17">
            <w:pPr>
              <w:pStyle w:val="TableParagraph"/>
              <w:rPr>
                <w:sz w:val="20"/>
                <w:szCs w:val="20"/>
              </w:rPr>
            </w:pPr>
            <w:r w:rsidRPr="00433A17">
              <w:rPr>
                <w:sz w:val="20"/>
                <w:szCs w:val="20"/>
              </w:rPr>
              <w:t xml:space="preserve">Instituto para la investigación Educativa y el Desarrollo Pedagógico – </w:t>
            </w:r>
            <w:proofErr w:type="spellStart"/>
            <w:r w:rsidRPr="00433A17">
              <w:rPr>
                <w:sz w:val="20"/>
                <w:szCs w:val="20"/>
              </w:rPr>
              <w:t>IDEP</w:t>
            </w:r>
            <w:proofErr w:type="spellEnd"/>
            <w:r w:rsidRPr="00433A17">
              <w:rPr>
                <w:sz w:val="20"/>
                <w:szCs w:val="20"/>
              </w:rPr>
              <w:t>.</w:t>
            </w:r>
          </w:p>
        </w:tc>
        <w:tc>
          <w:tcPr>
            <w:tcW w:w="7630" w:type="dxa"/>
            <w:shd w:val="clear" w:color="auto" w:fill="auto"/>
          </w:tcPr>
          <w:p w14:paraId="5F0A2766" w14:textId="77777777" w:rsidR="0033472D" w:rsidRPr="0033472D" w:rsidRDefault="0033472D" w:rsidP="0033472D">
            <w:pPr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33472D">
              <w:rPr>
                <w:sz w:val="20"/>
                <w:szCs w:val="20"/>
              </w:rPr>
              <w:t>Dentro del proceso 2017-00096-01, en atención al fallo de segunda instancia proferido el 22 de julio de 2021; el día 11 de agosto se solicitó, mediante memorial, la certificación de ejecutoría de la sentencia.</w:t>
            </w:r>
          </w:p>
          <w:p w14:paraId="23966892" w14:textId="77777777" w:rsidR="0033472D" w:rsidRPr="0033472D" w:rsidRDefault="0033472D" w:rsidP="0033472D">
            <w:pPr>
              <w:jc w:val="both"/>
              <w:rPr>
                <w:sz w:val="20"/>
                <w:szCs w:val="20"/>
              </w:rPr>
            </w:pPr>
          </w:p>
          <w:p w14:paraId="5C366DD2" w14:textId="77777777" w:rsidR="0033472D" w:rsidRPr="0033472D" w:rsidRDefault="0033472D" w:rsidP="0033472D">
            <w:pPr>
              <w:jc w:val="both"/>
              <w:rPr>
                <w:spacing w:val="6"/>
                <w:sz w:val="20"/>
                <w:szCs w:val="20"/>
                <w:shd w:val="clear" w:color="auto" w:fill="EEEEEE"/>
              </w:rPr>
            </w:pPr>
            <w:r w:rsidRPr="0033472D">
              <w:rPr>
                <w:spacing w:val="6"/>
                <w:sz w:val="20"/>
                <w:szCs w:val="20"/>
                <w:shd w:val="clear" w:color="auto" w:fill="EEEEEE"/>
              </w:rPr>
              <w:t xml:space="preserve">El 20 de agosto de 2021 se expide constancia de ejecutoria a solicitud de </w:t>
            </w:r>
            <w:r w:rsidRPr="0033472D">
              <w:rPr>
                <w:spacing w:val="6"/>
                <w:sz w:val="20"/>
                <w:szCs w:val="20"/>
              </w:rPr>
              <w:t xml:space="preserve">la </w:t>
            </w:r>
            <w:r w:rsidRPr="0033472D">
              <w:rPr>
                <w:spacing w:val="6"/>
                <w:sz w:val="20"/>
                <w:szCs w:val="20"/>
              </w:rPr>
              <w:lastRenderedPageBreak/>
              <w:t>apoderada del Instituto para la Investigación Educativa y el Desarrollo Pedagógico-</w:t>
            </w:r>
            <w:proofErr w:type="spellStart"/>
            <w:r w:rsidRPr="0033472D">
              <w:rPr>
                <w:spacing w:val="6"/>
                <w:sz w:val="20"/>
                <w:szCs w:val="20"/>
              </w:rPr>
              <w:t>IDEP</w:t>
            </w:r>
            <w:proofErr w:type="spellEnd"/>
            <w:r w:rsidRPr="0033472D">
              <w:rPr>
                <w:spacing w:val="6"/>
                <w:sz w:val="20"/>
                <w:szCs w:val="20"/>
              </w:rPr>
              <w:t xml:space="preserve">, y se devuelve al Juzgado 61 Administrativo de Bogotá con oficio Nº 292- </w:t>
            </w:r>
            <w:proofErr w:type="spellStart"/>
            <w:r w:rsidRPr="0033472D">
              <w:rPr>
                <w:spacing w:val="6"/>
                <w:sz w:val="20"/>
                <w:szCs w:val="20"/>
              </w:rPr>
              <w:t>FIC</w:t>
            </w:r>
            <w:proofErr w:type="spellEnd"/>
            <w:r w:rsidRPr="0033472D">
              <w:rPr>
                <w:spacing w:val="6"/>
                <w:sz w:val="20"/>
                <w:szCs w:val="20"/>
              </w:rPr>
              <w:t xml:space="preserve"> - 2021 – </w:t>
            </w:r>
            <w:proofErr w:type="spellStart"/>
            <w:r w:rsidRPr="0033472D">
              <w:rPr>
                <w:spacing w:val="6"/>
                <w:sz w:val="20"/>
                <w:szCs w:val="20"/>
              </w:rPr>
              <w:t>LC</w:t>
            </w:r>
            <w:proofErr w:type="spellEnd"/>
            <w:r w:rsidRPr="0033472D">
              <w:rPr>
                <w:spacing w:val="6"/>
                <w:sz w:val="20"/>
                <w:szCs w:val="20"/>
              </w:rPr>
              <w:t>.</w:t>
            </w:r>
          </w:p>
          <w:p w14:paraId="2F2007C1" w14:textId="77777777" w:rsidR="0033472D" w:rsidRPr="0033472D" w:rsidRDefault="0033472D" w:rsidP="0033472D">
            <w:pPr>
              <w:jc w:val="both"/>
              <w:rPr>
                <w:sz w:val="20"/>
                <w:szCs w:val="20"/>
              </w:rPr>
            </w:pPr>
          </w:p>
          <w:p w14:paraId="1869DC47" w14:textId="759148C6" w:rsidR="0054023F" w:rsidRPr="0033472D" w:rsidRDefault="0033472D" w:rsidP="0033472D">
            <w:pPr>
              <w:jc w:val="both"/>
              <w:rPr>
                <w:sz w:val="21"/>
                <w:szCs w:val="21"/>
              </w:rPr>
            </w:pPr>
            <w:r w:rsidRPr="0033472D">
              <w:rPr>
                <w:sz w:val="20"/>
                <w:szCs w:val="20"/>
              </w:rPr>
              <w:t>La abogada CAMILA ANDREA BERNAL RODRÍGUEZ cedió contrato a partir del 01 de agosto de 2021 a la abogada GISELA GARCÍA COLORADO, por lo que se están realizando los trámites de revocatoria de poder para presentar al despacho con los respectivos paz y salvos.</w:t>
            </w:r>
          </w:p>
        </w:tc>
        <w:tc>
          <w:tcPr>
            <w:tcW w:w="0" w:type="auto"/>
          </w:tcPr>
          <w:p w14:paraId="30345999" w14:textId="77777777" w:rsidR="0054023F" w:rsidRPr="00433A17" w:rsidRDefault="0054023F" w:rsidP="00A672F4">
            <w:pPr>
              <w:pStyle w:val="TableParagraph"/>
              <w:jc w:val="center"/>
              <w:rPr>
                <w:sz w:val="20"/>
                <w:szCs w:val="20"/>
              </w:rPr>
            </w:pPr>
            <w:r w:rsidRPr="00433A17">
              <w:rPr>
                <w:sz w:val="20"/>
                <w:szCs w:val="20"/>
              </w:rPr>
              <w:lastRenderedPageBreak/>
              <w:t>$6.984.854</w:t>
            </w:r>
          </w:p>
        </w:tc>
        <w:tc>
          <w:tcPr>
            <w:tcW w:w="0" w:type="auto"/>
          </w:tcPr>
          <w:p w14:paraId="635E1933" w14:textId="77777777" w:rsidR="0054023F" w:rsidRPr="00433A17" w:rsidRDefault="0054023F" w:rsidP="00A672F4">
            <w:pPr>
              <w:pStyle w:val="TableParagraph"/>
              <w:spacing w:before="96"/>
              <w:jc w:val="center"/>
              <w:rPr>
                <w:sz w:val="20"/>
                <w:szCs w:val="20"/>
              </w:rPr>
            </w:pPr>
            <w:r w:rsidRPr="00433A17">
              <w:rPr>
                <w:sz w:val="20"/>
                <w:szCs w:val="20"/>
              </w:rPr>
              <w:t>Bajo</w:t>
            </w:r>
          </w:p>
        </w:tc>
      </w:tr>
    </w:tbl>
    <w:p w14:paraId="63C89A2A" w14:textId="77777777" w:rsidR="0054023F" w:rsidRPr="00433A17" w:rsidRDefault="0054023F">
      <w:pPr>
        <w:pStyle w:val="Textoindependiente"/>
        <w:spacing w:before="1" w:after="1"/>
        <w:rPr>
          <w:sz w:val="20"/>
          <w:szCs w:val="20"/>
        </w:rPr>
      </w:pPr>
    </w:p>
    <w:p w14:paraId="3BD1058D" w14:textId="26786AA7" w:rsidR="00FC3AA7" w:rsidRPr="00433A17" w:rsidRDefault="008830B0" w:rsidP="007E2CCE">
      <w:pPr>
        <w:pStyle w:val="Textoindependiente"/>
        <w:rPr>
          <w:sz w:val="20"/>
          <w:szCs w:val="20"/>
        </w:rPr>
      </w:pPr>
      <w:r w:rsidRPr="00433A17">
        <w:rPr>
          <w:noProof/>
          <w:sz w:val="20"/>
          <w:szCs w:val="20"/>
          <w:lang w:val="es-ES" w:eastAsia="es-ES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4C7D787" wp14:editId="16A26619">
                <wp:simplePos x="0" y="0"/>
                <wp:positionH relativeFrom="page">
                  <wp:posOffset>8006080</wp:posOffset>
                </wp:positionH>
                <wp:positionV relativeFrom="paragraph">
                  <wp:posOffset>1079500</wp:posOffset>
                </wp:positionV>
                <wp:extent cx="3412490" cy="297180"/>
                <wp:effectExtent l="0" t="0" r="16510" b="266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249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BA0335" w14:textId="4EA83D4F" w:rsidR="00FC3AA7" w:rsidRDefault="00A979B1">
                            <w:pPr>
                              <w:spacing w:before="76"/>
                              <w:ind w:left="146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Apoderado de la Entidad: </w:t>
                            </w:r>
                            <w:r>
                              <w:rPr>
                                <w:sz w:val="20"/>
                              </w:rPr>
                              <w:t>Dr</w:t>
                            </w:r>
                            <w:r w:rsidR="00976D22"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z w:val="20"/>
                              </w:rPr>
                              <w:t xml:space="preserve">. </w:t>
                            </w:r>
                            <w:r w:rsidR="00DD511A">
                              <w:rPr>
                                <w:sz w:val="20"/>
                              </w:rPr>
                              <w:t>Gisela García</w:t>
                            </w:r>
                            <w:r w:rsidR="00976D22">
                              <w:rPr>
                                <w:sz w:val="20"/>
                              </w:rPr>
                              <w:t xml:space="preserve"> </w:t>
                            </w:r>
                            <w:r w:rsidR="00DD511A">
                              <w:rPr>
                                <w:sz w:val="20"/>
                              </w:rPr>
                              <w:t>Colorado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4C7D7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0.4pt;margin-top:85pt;width:268.7pt;height:23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" filled="f">
                <v:textbox inset="0,0,0,0">
                  <w:txbxContent>
                    <w:p w14:paraId="40BA0335" w14:textId="4EA83D4F" w:rsidR="00FC3AA7" w:rsidRDefault="00A979B1">
                      <w:pPr>
                        <w:spacing w:before="76"/>
                        <w:ind w:left="146"/>
                        <w:rPr>
                          <w:rFonts w:ascii="Trebuchet MS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Apoderado de la Entidad: </w:t>
                      </w:r>
                      <w:r>
                        <w:rPr>
                          <w:sz w:val="20"/>
                        </w:rPr>
                        <w:t>Dr</w:t>
                      </w:r>
                      <w:r w:rsidR="00976D22">
                        <w:rPr>
                          <w:sz w:val="20"/>
                        </w:rPr>
                        <w:t>a</w:t>
                      </w:r>
                      <w:r>
                        <w:rPr>
                          <w:sz w:val="20"/>
                        </w:rPr>
                        <w:t xml:space="preserve">. </w:t>
                      </w:r>
                      <w:r w:rsidR="00DD511A">
                        <w:rPr>
                          <w:sz w:val="20"/>
                        </w:rPr>
                        <w:t>Gisela García</w:t>
                      </w:r>
                      <w:r w:rsidR="00976D22">
                        <w:rPr>
                          <w:sz w:val="20"/>
                        </w:rPr>
                        <w:t xml:space="preserve"> </w:t>
                      </w:r>
                      <w:r w:rsidR="00DD511A">
                        <w:rPr>
                          <w:sz w:val="20"/>
                        </w:rPr>
                        <w:t>Colorado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FC3AA7" w:rsidRPr="00433A17" w:rsidSect="0054023F">
      <w:headerReference w:type="default" r:id="rId7"/>
      <w:footerReference w:type="default" r:id="rId8"/>
      <w:type w:val="continuous"/>
      <w:pgSz w:w="18720" w:h="12240" w:orient="landscape" w:code="41"/>
      <w:pgMar w:top="1276" w:right="567" w:bottom="278" w:left="1418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F4266" w14:textId="77777777" w:rsidR="00BE4A2B" w:rsidRDefault="00BE4A2B" w:rsidP="005C2220">
      <w:r>
        <w:separator/>
      </w:r>
    </w:p>
  </w:endnote>
  <w:endnote w:type="continuationSeparator" w:id="0">
    <w:p w14:paraId="391C2157" w14:textId="77777777" w:rsidR="00BE4A2B" w:rsidRDefault="00BE4A2B" w:rsidP="005C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EE98B" w14:textId="77777777" w:rsidR="005C2220" w:rsidRDefault="005C2220" w:rsidP="005C2220">
    <w:pPr>
      <w:pStyle w:val="Textoindependiente"/>
      <w:ind w:left="155"/>
      <w:rPr>
        <w:color w:val="17365D"/>
      </w:rPr>
    </w:pPr>
    <w:r>
      <w:rPr>
        <w:noProof/>
        <w:color w:val="17365D"/>
        <w:lang w:val="es-ES" w:eastAsia="es-ES" w:bidi="ar-SA"/>
      </w:rPr>
      <w:drawing>
        <wp:anchor distT="0" distB="0" distL="114300" distR="114300" simplePos="0" relativeHeight="251659264" behindDoc="0" locked="0" layoutInCell="1" allowOverlap="1" wp14:anchorId="7158D312" wp14:editId="77A64535">
          <wp:simplePos x="0" y="0"/>
          <wp:positionH relativeFrom="margin">
            <wp:posOffset>7019925</wp:posOffset>
          </wp:positionH>
          <wp:positionV relativeFrom="paragraph">
            <wp:posOffset>41910</wp:posOffset>
          </wp:positionV>
          <wp:extent cx="2147570" cy="694690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Bogotá 2020 peq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757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822F99" w14:textId="77777777" w:rsidR="005C2220" w:rsidRDefault="005C2220" w:rsidP="005C2220">
    <w:pPr>
      <w:pStyle w:val="Textoindependiente"/>
      <w:ind w:left="155"/>
    </w:pPr>
    <w:bookmarkStart w:id="1" w:name="_Hlk64373519"/>
    <w:r>
      <w:rPr>
        <w:color w:val="17365D"/>
      </w:rPr>
      <w:t xml:space="preserve">INSTITUTO PARA LA INVESTIGACIÓN EDUCATIVA Y EL DESARROLLO PEDAGÓGICO, </w:t>
    </w:r>
    <w:proofErr w:type="spellStart"/>
    <w:r>
      <w:rPr>
        <w:color w:val="17365D"/>
      </w:rPr>
      <w:t>IDEP</w:t>
    </w:r>
    <w:proofErr w:type="spellEnd"/>
  </w:p>
  <w:p w14:paraId="7668B999" w14:textId="77777777" w:rsidR="005C2220" w:rsidRDefault="005C2220" w:rsidP="005C2220">
    <w:pPr>
      <w:pStyle w:val="Textoindependiente"/>
      <w:spacing w:before="19"/>
      <w:ind w:left="155"/>
    </w:pPr>
    <w:r>
      <w:rPr>
        <w:color w:val="17365D"/>
      </w:rPr>
      <w:t xml:space="preserve">Avenida Calle 26 No. </w:t>
    </w:r>
    <w:proofErr w:type="spellStart"/>
    <w:r>
      <w:rPr>
        <w:color w:val="17365D"/>
      </w:rPr>
      <w:t>69D</w:t>
    </w:r>
    <w:proofErr w:type="spellEnd"/>
    <w:r>
      <w:rPr>
        <w:color w:val="17365D"/>
      </w:rPr>
      <w:t xml:space="preserve"> - 91. Oficinas 402ª, </w:t>
    </w:r>
    <w:proofErr w:type="spellStart"/>
    <w:r>
      <w:rPr>
        <w:color w:val="17365D"/>
      </w:rPr>
      <w:t>402B</w:t>
    </w:r>
    <w:proofErr w:type="spellEnd"/>
    <w:r>
      <w:rPr>
        <w:color w:val="17365D"/>
      </w:rPr>
      <w:t>, 805, 806. Torre 2 - Código Postal: 110931</w:t>
    </w:r>
    <w:r w:rsidRPr="005C2220">
      <w:rPr>
        <w:noProof/>
        <w:color w:val="17365D"/>
        <w:lang w:bidi="ar-SA"/>
      </w:rPr>
      <w:t xml:space="preserve"> </w:t>
    </w:r>
  </w:p>
  <w:p w14:paraId="2AA52B8D" w14:textId="77777777" w:rsidR="005C2220" w:rsidRDefault="005C2220" w:rsidP="005C2220">
    <w:pPr>
      <w:pStyle w:val="Textoindependiente"/>
      <w:spacing w:before="19" w:line="268" w:lineRule="auto"/>
      <w:ind w:left="155" w:right="12726"/>
    </w:pPr>
    <w:proofErr w:type="spellStart"/>
    <w:r>
      <w:rPr>
        <w:color w:val="17365D"/>
      </w:rPr>
      <w:t>PBX</w:t>
    </w:r>
    <w:proofErr w:type="spellEnd"/>
    <w:r>
      <w:rPr>
        <w:color w:val="17365D"/>
      </w:rPr>
      <w:t xml:space="preserve"> (57-1) 263 0603 - Línea de atención al ciudadano 195 Bogotá DC - Colombia</w:t>
    </w:r>
  </w:p>
  <w:p w14:paraId="1D849B90" w14:textId="77777777" w:rsidR="005C2220" w:rsidRDefault="00BE4A2B" w:rsidP="005C2220">
    <w:pPr>
      <w:pStyle w:val="Textoindependiente"/>
      <w:spacing w:line="268" w:lineRule="auto"/>
      <w:ind w:left="155" w:right="14284"/>
      <w:rPr>
        <w:color w:val="17365D"/>
      </w:rPr>
    </w:pPr>
    <w:hyperlink r:id="rId2">
      <w:r w:rsidR="005C2220">
        <w:rPr>
          <w:color w:val="17365D"/>
          <w:w w:val="95"/>
        </w:rPr>
        <w:t>idep@idep.edu.co</w:t>
      </w:r>
    </w:hyperlink>
    <w:r w:rsidR="005C2220">
      <w:rPr>
        <w:color w:val="17365D"/>
        <w:w w:val="95"/>
      </w:rPr>
      <w:t xml:space="preserve"> </w:t>
    </w:r>
    <w:hyperlink r:id="rId3">
      <w:r w:rsidR="005C2220">
        <w:rPr>
          <w:color w:val="17365D"/>
        </w:rPr>
        <w:t>www.idep.edu.co</w:t>
      </w:r>
    </w:hyperlink>
  </w:p>
  <w:bookmarkEnd w:id="1"/>
  <w:p w14:paraId="0350A6E7" w14:textId="77777777" w:rsidR="005C2220" w:rsidRDefault="005C22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D42EB" w14:textId="77777777" w:rsidR="00BE4A2B" w:rsidRDefault="00BE4A2B" w:rsidP="005C2220">
      <w:r>
        <w:separator/>
      </w:r>
    </w:p>
  </w:footnote>
  <w:footnote w:type="continuationSeparator" w:id="0">
    <w:p w14:paraId="21DC7D80" w14:textId="77777777" w:rsidR="00BE4A2B" w:rsidRDefault="00BE4A2B" w:rsidP="005C2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9821B" w14:textId="77777777" w:rsidR="005C2220" w:rsidRDefault="005C2220" w:rsidP="005C2220">
    <w:pPr>
      <w:pStyle w:val="Encabezado"/>
      <w:jc w:val="center"/>
    </w:pPr>
    <w:r>
      <w:rPr>
        <w:rFonts w:ascii="Times New Roman"/>
        <w:noProof/>
        <w:sz w:val="20"/>
        <w:lang w:val="es-ES" w:eastAsia="es-ES" w:bidi="ar-SA"/>
      </w:rPr>
      <w:drawing>
        <wp:inline distT="0" distB="0" distL="0" distR="0" wp14:anchorId="62237024" wp14:editId="04920866">
          <wp:extent cx="800130" cy="831723"/>
          <wp:effectExtent l="0" t="0" r="0" b="0"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0130" cy="831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A7"/>
    <w:rsid w:val="00031435"/>
    <w:rsid w:val="000409CD"/>
    <w:rsid w:val="000946AE"/>
    <w:rsid w:val="000B2A22"/>
    <w:rsid w:val="000F5281"/>
    <w:rsid w:val="00160C66"/>
    <w:rsid w:val="00172C68"/>
    <w:rsid w:val="0017430B"/>
    <w:rsid w:val="001B7560"/>
    <w:rsid w:val="002008A4"/>
    <w:rsid w:val="002032C4"/>
    <w:rsid w:val="002111DA"/>
    <w:rsid w:val="002128A5"/>
    <w:rsid w:val="00232C3E"/>
    <w:rsid w:val="00251017"/>
    <w:rsid w:val="002701A7"/>
    <w:rsid w:val="002868FA"/>
    <w:rsid w:val="002C31D5"/>
    <w:rsid w:val="0033472D"/>
    <w:rsid w:val="00391748"/>
    <w:rsid w:val="003B0C6B"/>
    <w:rsid w:val="003E6D8C"/>
    <w:rsid w:val="00417192"/>
    <w:rsid w:val="00433A17"/>
    <w:rsid w:val="0044141F"/>
    <w:rsid w:val="00454049"/>
    <w:rsid w:val="004A4DC0"/>
    <w:rsid w:val="004C347B"/>
    <w:rsid w:val="00505A22"/>
    <w:rsid w:val="00513CCE"/>
    <w:rsid w:val="0054023F"/>
    <w:rsid w:val="005A7F8B"/>
    <w:rsid w:val="005C2220"/>
    <w:rsid w:val="005C3720"/>
    <w:rsid w:val="005C4892"/>
    <w:rsid w:val="006C00C2"/>
    <w:rsid w:val="006D4276"/>
    <w:rsid w:val="00703494"/>
    <w:rsid w:val="00716926"/>
    <w:rsid w:val="00721754"/>
    <w:rsid w:val="00775A09"/>
    <w:rsid w:val="007E2CCE"/>
    <w:rsid w:val="007E3E66"/>
    <w:rsid w:val="007F78FE"/>
    <w:rsid w:val="007F7AC9"/>
    <w:rsid w:val="00802F27"/>
    <w:rsid w:val="00805613"/>
    <w:rsid w:val="008378A9"/>
    <w:rsid w:val="00856C49"/>
    <w:rsid w:val="008830B0"/>
    <w:rsid w:val="008948E1"/>
    <w:rsid w:val="008A4300"/>
    <w:rsid w:val="008D3751"/>
    <w:rsid w:val="008D38FC"/>
    <w:rsid w:val="008F098E"/>
    <w:rsid w:val="00927EDC"/>
    <w:rsid w:val="009718A0"/>
    <w:rsid w:val="00976D22"/>
    <w:rsid w:val="00990DD1"/>
    <w:rsid w:val="009B119E"/>
    <w:rsid w:val="009E0EEF"/>
    <w:rsid w:val="009E1916"/>
    <w:rsid w:val="009E72BF"/>
    <w:rsid w:val="00A672F4"/>
    <w:rsid w:val="00A903F5"/>
    <w:rsid w:val="00A979B1"/>
    <w:rsid w:val="00AC222D"/>
    <w:rsid w:val="00AC46AD"/>
    <w:rsid w:val="00AC4F4D"/>
    <w:rsid w:val="00AC54F0"/>
    <w:rsid w:val="00AD33A9"/>
    <w:rsid w:val="00AF33A7"/>
    <w:rsid w:val="00B23072"/>
    <w:rsid w:val="00B77821"/>
    <w:rsid w:val="00B91AC2"/>
    <w:rsid w:val="00B94C3B"/>
    <w:rsid w:val="00BA71CA"/>
    <w:rsid w:val="00BB74B3"/>
    <w:rsid w:val="00BD74EE"/>
    <w:rsid w:val="00BE0575"/>
    <w:rsid w:val="00BE1579"/>
    <w:rsid w:val="00BE15BF"/>
    <w:rsid w:val="00BE4A2B"/>
    <w:rsid w:val="00BF108D"/>
    <w:rsid w:val="00C06657"/>
    <w:rsid w:val="00C13EE1"/>
    <w:rsid w:val="00C97C9D"/>
    <w:rsid w:val="00CA330D"/>
    <w:rsid w:val="00CB099C"/>
    <w:rsid w:val="00CB293E"/>
    <w:rsid w:val="00CB4605"/>
    <w:rsid w:val="00CD50C1"/>
    <w:rsid w:val="00CE3516"/>
    <w:rsid w:val="00D330B8"/>
    <w:rsid w:val="00D4098B"/>
    <w:rsid w:val="00D50415"/>
    <w:rsid w:val="00D72568"/>
    <w:rsid w:val="00D91CAC"/>
    <w:rsid w:val="00DD511A"/>
    <w:rsid w:val="00DF2B29"/>
    <w:rsid w:val="00E15791"/>
    <w:rsid w:val="00E565C5"/>
    <w:rsid w:val="00E8697E"/>
    <w:rsid w:val="00F82F92"/>
    <w:rsid w:val="00FA3CDF"/>
    <w:rsid w:val="00FC006C"/>
    <w:rsid w:val="00FC3AA7"/>
    <w:rsid w:val="00FC586A"/>
    <w:rsid w:val="00FF12B2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21D1D"/>
  <w15:docId w15:val="{E2CE678A-D390-4B4D-AA4F-90287953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C3AA7"/>
    <w:rPr>
      <w:rFonts w:ascii="Arial" w:eastAsia="Arial" w:hAnsi="Arial" w:cs="Arial"/>
      <w:lang w:val="es-CO" w:eastAsia="es-CO" w:bidi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3A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C3AA7"/>
    <w:rPr>
      <w:sz w:val="14"/>
      <w:szCs w:val="14"/>
    </w:rPr>
  </w:style>
  <w:style w:type="paragraph" w:styleId="Prrafodelista">
    <w:name w:val="List Paragraph"/>
    <w:basedOn w:val="Normal"/>
    <w:uiPriority w:val="1"/>
    <w:qFormat/>
    <w:rsid w:val="00FC3AA7"/>
  </w:style>
  <w:style w:type="paragraph" w:customStyle="1" w:styleId="TableParagraph">
    <w:name w:val="Table Paragraph"/>
    <w:basedOn w:val="Normal"/>
    <w:uiPriority w:val="1"/>
    <w:qFormat/>
    <w:rsid w:val="00FC3AA7"/>
    <w:pPr>
      <w:spacing w:before="103"/>
      <w:ind w:left="1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2A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A22"/>
    <w:rPr>
      <w:rFonts w:ascii="Tahoma" w:eastAsia="Arial" w:hAnsi="Tahoma" w:cs="Tahoma"/>
      <w:sz w:val="16"/>
      <w:szCs w:val="16"/>
      <w:lang w:val="es-CO" w:eastAsia="es-CO" w:bidi="es-CO"/>
    </w:rPr>
  </w:style>
  <w:style w:type="paragraph" w:styleId="Encabezado">
    <w:name w:val="header"/>
    <w:basedOn w:val="Normal"/>
    <w:link w:val="EncabezadoCar"/>
    <w:uiPriority w:val="99"/>
    <w:unhideWhenUsed/>
    <w:rsid w:val="005C22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2220"/>
    <w:rPr>
      <w:rFonts w:ascii="Arial" w:eastAsia="Arial" w:hAnsi="Arial" w:cs="Arial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5C22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220"/>
    <w:rPr>
      <w:rFonts w:ascii="Arial" w:eastAsia="Arial" w:hAnsi="Arial" w:cs="Arial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ep.edu.co/" TargetMode="External"/><Relationship Id="rId2" Type="http://schemas.openxmlformats.org/officeDocument/2006/relationships/hyperlink" Target="mailto:idep@idep.edu.co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F5B27-53F2-4CC8-91E0-DAA76724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781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IDEP / Formato tamaño carta</vt:lpstr>
    </vt:vector>
  </TitlesOfParts>
  <Company>Hewlett-Packard Company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IDEP / Formato tamaño carta</dc:title>
  <dc:subject>IDEP / Formato tamaño carta</dc:subject>
  <dc:creator>sortega</dc:creator>
  <cp:keywords>IDEP/Formato tamaño carta</cp:keywords>
  <cp:lastModifiedBy>Lady Gisela Garcia Colorado</cp:lastModifiedBy>
  <cp:revision>3</cp:revision>
  <cp:lastPrinted>2019-03-06T14:14:00Z</cp:lastPrinted>
  <dcterms:created xsi:type="dcterms:W3CDTF">2021-09-14T14:36:00Z</dcterms:created>
  <dcterms:modified xsi:type="dcterms:W3CDTF">2021-09-14T14:39:00Z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2018-04-26T00:00:00Z</vt:filetime>
  </property>
</Properties>
</file>