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2A82" w14:textId="77777777" w:rsidR="00B37228" w:rsidRDefault="00B37228" w:rsidP="009E6C59">
      <w:pPr>
        <w:rPr>
          <w:rFonts w:ascii="Arial" w:hAnsi="Arial" w:cs="Arial"/>
          <w:sz w:val="22"/>
          <w:szCs w:val="22"/>
        </w:rPr>
      </w:pPr>
    </w:p>
    <w:p w14:paraId="2A9BDAD7" w14:textId="77777777" w:rsidR="005D4BD5" w:rsidRPr="00771B7E" w:rsidRDefault="005D4BD5" w:rsidP="009E6C59">
      <w:pPr>
        <w:rPr>
          <w:rFonts w:ascii="Arial" w:hAnsi="Arial" w:cs="Arial"/>
          <w:sz w:val="22"/>
          <w:szCs w:val="22"/>
        </w:rPr>
      </w:pPr>
    </w:p>
    <w:p w14:paraId="000AA1DC" w14:textId="77777777" w:rsidR="008730EF" w:rsidRPr="00771B7E" w:rsidRDefault="008730EF" w:rsidP="009E6C59">
      <w:pPr>
        <w:jc w:val="center"/>
        <w:rPr>
          <w:rFonts w:ascii="Arial" w:hAnsi="Arial" w:cs="Arial"/>
          <w:sz w:val="22"/>
          <w:szCs w:val="22"/>
        </w:rPr>
      </w:pPr>
    </w:p>
    <w:p w14:paraId="32F0263A" w14:textId="77777777" w:rsidR="008730EF" w:rsidRPr="00771B7E" w:rsidRDefault="008730EF" w:rsidP="009E6C59">
      <w:pPr>
        <w:jc w:val="center"/>
        <w:rPr>
          <w:rFonts w:ascii="Arial" w:hAnsi="Arial" w:cs="Arial"/>
          <w:sz w:val="22"/>
          <w:szCs w:val="22"/>
        </w:rPr>
      </w:pPr>
    </w:p>
    <w:tbl>
      <w:tblPr>
        <w:tblStyle w:val="Tablaconcuadrcula"/>
        <w:tblW w:w="9606" w:type="dxa"/>
        <w:tblLook w:val="04A0" w:firstRow="1" w:lastRow="0" w:firstColumn="1" w:lastColumn="0" w:noHBand="0" w:noVBand="1"/>
      </w:tblPr>
      <w:tblGrid>
        <w:gridCol w:w="2992"/>
        <w:gridCol w:w="3353"/>
        <w:gridCol w:w="3261"/>
      </w:tblGrid>
      <w:tr w:rsidR="001677B6" w:rsidRPr="00771B7E" w14:paraId="4657A1C4" w14:textId="77777777" w:rsidTr="00DC36B8">
        <w:tc>
          <w:tcPr>
            <w:tcW w:w="9606" w:type="dxa"/>
            <w:gridSpan w:val="3"/>
          </w:tcPr>
          <w:p w14:paraId="41F7467B" w14:textId="77777777" w:rsidR="001677B6" w:rsidRPr="00771B7E" w:rsidRDefault="006D5BAB" w:rsidP="009E6C59">
            <w:pPr>
              <w:jc w:val="center"/>
              <w:rPr>
                <w:rFonts w:ascii="Arial" w:hAnsi="Arial" w:cs="Arial"/>
                <w:b/>
                <w:sz w:val="18"/>
                <w:szCs w:val="18"/>
              </w:rPr>
            </w:pPr>
            <w:r w:rsidRPr="00771B7E">
              <w:rPr>
                <w:rFonts w:ascii="Arial" w:hAnsi="Arial" w:cs="Arial"/>
                <w:b/>
                <w:sz w:val="18"/>
                <w:szCs w:val="18"/>
              </w:rPr>
              <w:t>Firma de autorizaciones</w:t>
            </w:r>
          </w:p>
        </w:tc>
      </w:tr>
      <w:tr w:rsidR="001677B6" w:rsidRPr="00771B7E" w14:paraId="501732E2" w14:textId="77777777" w:rsidTr="00DC36B8">
        <w:tc>
          <w:tcPr>
            <w:tcW w:w="2992" w:type="dxa"/>
          </w:tcPr>
          <w:p w14:paraId="2AE5C82D" w14:textId="77777777" w:rsidR="001677B6" w:rsidRPr="00771B7E" w:rsidRDefault="001677B6" w:rsidP="009E6C59">
            <w:pPr>
              <w:jc w:val="center"/>
              <w:rPr>
                <w:rFonts w:ascii="Arial" w:hAnsi="Arial" w:cs="Arial"/>
                <w:b/>
                <w:sz w:val="18"/>
                <w:szCs w:val="18"/>
              </w:rPr>
            </w:pPr>
            <w:r w:rsidRPr="00771B7E">
              <w:rPr>
                <w:rFonts w:ascii="Arial" w:hAnsi="Arial" w:cs="Arial"/>
                <w:b/>
                <w:sz w:val="18"/>
                <w:szCs w:val="18"/>
              </w:rPr>
              <w:t>Elaboró</w:t>
            </w:r>
          </w:p>
        </w:tc>
        <w:tc>
          <w:tcPr>
            <w:tcW w:w="3353" w:type="dxa"/>
          </w:tcPr>
          <w:p w14:paraId="4C3D365F" w14:textId="77777777" w:rsidR="001677B6" w:rsidRPr="00771B7E" w:rsidRDefault="001677B6" w:rsidP="009E6C59">
            <w:pPr>
              <w:jc w:val="center"/>
              <w:rPr>
                <w:rFonts w:ascii="Arial" w:hAnsi="Arial" w:cs="Arial"/>
                <w:b/>
                <w:sz w:val="18"/>
                <w:szCs w:val="18"/>
              </w:rPr>
            </w:pPr>
            <w:r w:rsidRPr="00771B7E">
              <w:rPr>
                <w:rFonts w:ascii="Arial" w:hAnsi="Arial" w:cs="Arial"/>
                <w:b/>
                <w:sz w:val="18"/>
                <w:szCs w:val="18"/>
              </w:rPr>
              <w:t>Revisó</w:t>
            </w:r>
          </w:p>
        </w:tc>
        <w:tc>
          <w:tcPr>
            <w:tcW w:w="3261" w:type="dxa"/>
          </w:tcPr>
          <w:p w14:paraId="635BB40D" w14:textId="77777777" w:rsidR="001677B6" w:rsidRPr="00771B7E" w:rsidRDefault="001677B6" w:rsidP="009E6C59">
            <w:pPr>
              <w:jc w:val="center"/>
              <w:rPr>
                <w:rFonts w:ascii="Arial" w:hAnsi="Arial" w:cs="Arial"/>
                <w:b/>
                <w:sz w:val="18"/>
                <w:szCs w:val="18"/>
              </w:rPr>
            </w:pPr>
            <w:r w:rsidRPr="00771B7E">
              <w:rPr>
                <w:rFonts w:ascii="Arial" w:hAnsi="Arial" w:cs="Arial"/>
                <w:b/>
                <w:sz w:val="18"/>
                <w:szCs w:val="18"/>
              </w:rPr>
              <w:t>Aprobó</w:t>
            </w:r>
          </w:p>
        </w:tc>
      </w:tr>
      <w:tr w:rsidR="006D5BAB" w:rsidRPr="00771B7E" w14:paraId="6B9384AA" w14:textId="77777777" w:rsidTr="00DC36B8">
        <w:tc>
          <w:tcPr>
            <w:tcW w:w="2992" w:type="dxa"/>
            <w:vMerge w:val="restart"/>
          </w:tcPr>
          <w:p w14:paraId="2507F1FA" w14:textId="77777777" w:rsidR="006D5BAB" w:rsidRPr="00771B7E" w:rsidRDefault="006D5BAB" w:rsidP="009E6C59">
            <w:pPr>
              <w:rPr>
                <w:rFonts w:ascii="Arial" w:hAnsi="Arial" w:cs="Arial"/>
                <w:sz w:val="18"/>
                <w:szCs w:val="18"/>
              </w:rPr>
            </w:pPr>
          </w:p>
          <w:p w14:paraId="3CDAD08C" w14:textId="77777777" w:rsidR="006D5BAB" w:rsidRPr="00771B7E" w:rsidRDefault="006D5BAB" w:rsidP="009E6C59">
            <w:pPr>
              <w:rPr>
                <w:rFonts w:ascii="Arial" w:hAnsi="Arial" w:cs="Arial"/>
                <w:sz w:val="18"/>
                <w:szCs w:val="18"/>
              </w:rPr>
            </w:pPr>
          </w:p>
          <w:p w14:paraId="317F64B3" w14:textId="77777777" w:rsidR="006D5BAB" w:rsidRPr="00771B7E" w:rsidRDefault="006D5BAB" w:rsidP="009E6C59">
            <w:pPr>
              <w:rPr>
                <w:rFonts w:ascii="Arial" w:hAnsi="Arial" w:cs="Arial"/>
                <w:sz w:val="18"/>
                <w:szCs w:val="18"/>
              </w:rPr>
            </w:pPr>
          </w:p>
          <w:p w14:paraId="7F46F8B2" w14:textId="77777777" w:rsidR="006D5BAB" w:rsidRPr="00771B7E" w:rsidRDefault="006D5BAB" w:rsidP="009E6C59">
            <w:pPr>
              <w:jc w:val="center"/>
              <w:rPr>
                <w:rFonts w:ascii="Arial" w:hAnsi="Arial" w:cs="Arial"/>
                <w:sz w:val="18"/>
                <w:szCs w:val="18"/>
              </w:rPr>
            </w:pPr>
            <w:r w:rsidRPr="00771B7E">
              <w:rPr>
                <w:rFonts w:ascii="Arial" w:hAnsi="Arial" w:cs="Arial"/>
                <w:sz w:val="18"/>
                <w:szCs w:val="18"/>
              </w:rPr>
              <w:t>Profesionales Oficina Asesora de Planeación</w:t>
            </w:r>
          </w:p>
        </w:tc>
        <w:tc>
          <w:tcPr>
            <w:tcW w:w="3353" w:type="dxa"/>
          </w:tcPr>
          <w:p w14:paraId="60BFC46A" w14:textId="77777777" w:rsidR="006D5BAB" w:rsidRPr="00771B7E" w:rsidRDefault="006D5BAB" w:rsidP="009E6C59">
            <w:pPr>
              <w:jc w:val="center"/>
              <w:rPr>
                <w:rFonts w:ascii="Arial" w:hAnsi="Arial" w:cs="Arial"/>
                <w:sz w:val="18"/>
                <w:szCs w:val="18"/>
              </w:rPr>
            </w:pPr>
          </w:p>
          <w:p w14:paraId="37DF0B2C" w14:textId="61EBA163" w:rsidR="006D5BAB" w:rsidRPr="00771B7E" w:rsidRDefault="006D5BAB" w:rsidP="009E6C59">
            <w:pPr>
              <w:jc w:val="center"/>
              <w:rPr>
                <w:rFonts w:ascii="Arial" w:hAnsi="Arial" w:cs="Arial"/>
                <w:sz w:val="18"/>
                <w:szCs w:val="18"/>
              </w:rPr>
            </w:pPr>
            <w:r w:rsidRPr="00771B7E">
              <w:rPr>
                <w:rFonts w:ascii="Arial" w:hAnsi="Arial" w:cs="Arial"/>
                <w:sz w:val="18"/>
                <w:szCs w:val="18"/>
              </w:rPr>
              <w:t>Subdirec</w:t>
            </w:r>
            <w:r w:rsidR="009E6C59" w:rsidRPr="00771B7E">
              <w:rPr>
                <w:rFonts w:ascii="Arial" w:hAnsi="Arial" w:cs="Arial"/>
                <w:sz w:val="18"/>
                <w:szCs w:val="18"/>
              </w:rPr>
              <w:t xml:space="preserve">tor </w:t>
            </w:r>
            <w:r w:rsidRPr="00771B7E">
              <w:rPr>
                <w:rFonts w:ascii="Arial" w:hAnsi="Arial" w:cs="Arial"/>
                <w:sz w:val="18"/>
                <w:szCs w:val="18"/>
              </w:rPr>
              <w:t xml:space="preserve"> Académic</w:t>
            </w:r>
            <w:r w:rsidR="009E6C59" w:rsidRPr="00771B7E">
              <w:rPr>
                <w:rFonts w:ascii="Arial" w:hAnsi="Arial" w:cs="Arial"/>
                <w:sz w:val="18"/>
                <w:szCs w:val="18"/>
              </w:rPr>
              <w:t>o</w:t>
            </w:r>
          </w:p>
        </w:tc>
        <w:tc>
          <w:tcPr>
            <w:tcW w:w="3261" w:type="dxa"/>
            <w:vMerge w:val="restart"/>
          </w:tcPr>
          <w:p w14:paraId="02BC69B6" w14:textId="77777777" w:rsidR="006D5BAB" w:rsidRPr="00771B7E" w:rsidRDefault="006D5BAB" w:rsidP="009E6C59">
            <w:pPr>
              <w:jc w:val="center"/>
              <w:rPr>
                <w:rFonts w:ascii="Arial" w:hAnsi="Arial" w:cs="Arial"/>
                <w:sz w:val="18"/>
                <w:szCs w:val="18"/>
              </w:rPr>
            </w:pPr>
          </w:p>
          <w:p w14:paraId="11300C9D" w14:textId="77777777" w:rsidR="006D5BAB" w:rsidRPr="00771B7E" w:rsidRDefault="006D5BAB" w:rsidP="009E6C59">
            <w:pPr>
              <w:jc w:val="center"/>
              <w:rPr>
                <w:rFonts w:ascii="Arial" w:hAnsi="Arial" w:cs="Arial"/>
                <w:sz w:val="18"/>
                <w:szCs w:val="18"/>
              </w:rPr>
            </w:pPr>
          </w:p>
          <w:p w14:paraId="7B609DEE" w14:textId="77777777" w:rsidR="006D5BAB" w:rsidRPr="00771B7E" w:rsidRDefault="006D5BAB" w:rsidP="009E6C59">
            <w:pPr>
              <w:jc w:val="center"/>
              <w:rPr>
                <w:rFonts w:ascii="Arial" w:hAnsi="Arial" w:cs="Arial"/>
                <w:sz w:val="18"/>
                <w:szCs w:val="18"/>
              </w:rPr>
            </w:pPr>
          </w:p>
          <w:p w14:paraId="44979B76" w14:textId="77777777" w:rsidR="006D5BAB" w:rsidRPr="00771B7E" w:rsidRDefault="006D5BAB" w:rsidP="009E6C59">
            <w:pPr>
              <w:jc w:val="center"/>
              <w:rPr>
                <w:rFonts w:ascii="Arial" w:hAnsi="Arial" w:cs="Arial"/>
                <w:sz w:val="18"/>
                <w:szCs w:val="18"/>
              </w:rPr>
            </w:pPr>
          </w:p>
          <w:p w14:paraId="0733DC35" w14:textId="77777777" w:rsidR="006D5BAB" w:rsidRPr="00771B7E" w:rsidRDefault="006D5BAB" w:rsidP="009E6C59">
            <w:pPr>
              <w:jc w:val="center"/>
              <w:rPr>
                <w:rFonts w:ascii="Arial" w:hAnsi="Arial" w:cs="Arial"/>
                <w:sz w:val="18"/>
                <w:szCs w:val="18"/>
              </w:rPr>
            </w:pPr>
            <w:r w:rsidRPr="00771B7E">
              <w:rPr>
                <w:rFonts w:ascii="Arial" w:hAnsi="Arial" w:cs="Arial"/>
                <w:sz w:val="18"/>
                <w:szCs w:val="18"/>
              </w:rPr>
              <w:t>Directora General</w:t>
            </w:r>
          </w:p>
        </w:tc>
      </w:tr>
      <w:tr w:rsidR="006D5BAB" w:rsidRPr="00771B7E" w14:paraId="28588265" w14:textId="77777777" w:rsidTr="00DC36B8">
        <w:tc>
          <w:tcPr>
            <w:tcW w:w="2992" w:type="dxa"/>
            <w:vMerge/>
          </w:tcPr>
          <w:p w14:paraId="15555C6E" w14:textId="77777777" w:rsidR="006D5BAB" w:rsidRPr="00771B7E" w:rsidRDefault="006D5BAB" w:rsidP="009E6C59">
            <w:pPr>
              <w:rPr>
                <w:rFonts w:ascii="Arial" w:hAnsi="Arial" w:cs="Arial"/>
                <w:sz w:val="18"/>
                <w:szCs w:val="18"/>
              </w:rPr>
            </w:pPr>
          </w:p>
        </w:tc>
        <w:tc>
          <w:tcPr>
            <w:tcW w:w="3353" w:type="dxa"/>
          </w:tcPr>
          <w:p w14:paraId="06C7A661" w14:textId="77777777" w:rsidR="006D5BAB" w:rsidRPr="00771B7E" w:rsidRDefault="006D5BAB" w:rsidP="009E6C59">
            <w:pPr>
              <w:jc w:val="center"/>
              <w:rPr>
                <w:rFonts w:ascii="Arial" w:hAnsi="Arial" w:cs="Arial"/>
                <w:sz w:val="18"/>
                <w:szCs w:val="18"/>
              </w:rPr>
            </w:pPr>
          </w:p>
          <w:p w14:paraId="3446967B" w14:textId="6F157CD3" w:rsidR="006D5BAB" w:rsidRPr="00771B7E" w:rsidRDefault="006D5BAB" w:rsidP="009E6C59">
            <w:pPr>
              <w:jc w:val="center"/>
              <w:rPr>
                <w:rFonts w:ascii="Arial" w:hAnsi="Arial" w:cs="Arial"/>
                <w:sz w:val="18"/>
                <w:szCs w:val="18"/>
              </w:rPr>
            </w:pPr>
            <w:r w:rsidRPr="00771B7E">
              <w:rPr>
                <w:rFonts w:ascii="Arial" w:hAnsi="Arial" w:cs="Arial"/>
                <w:sz w:val="18"/>
                <w:szCs w:val="18"/>
              </w:rPr>
              <w:t>Subdirec</w:t>
            </w:r>
            <w:r w:rsidR="009E6C59" w:rsidRPr="00771B7E">
              <w:rPr>
                <w:rFonts w:ascii="Arial" w:hAnsi="Arial" w:cs="Arial"/>
                <w:sz w:val="18"/>
                <w:szCs w:val="18"/>
              </w:rPr>
              <w:t>tor</w:t>
            </w:r>
            <w:r w:rsidRPr="00771B7E">
              <w:rPr>
                <w:rFonts w:ascii="Arial" w:hAnsi="Arial" w:cs="Arial"/>
                <w:sz w:val="18"/>
                <w:szCs w:val="18"/>
              </w:rPr>
              <w:t xml:space="preserve"> Administrativ</w:t>
            </w:r>
            <w:r w:rsidR="009E6C59" w:rsidRPr="00771B7E">
              <w:rPr>
                <w:rFonts w:ascii="Arial" w:hAnsi="Arial" w:cs="Arial"/>
                <w:sz w:val="18"/>
                <w:szCs w:val="18"/>
              </w:rPr>
              <w:t>o</w:t>
            </w:r>
            <w:r w:rsidRPr="00771B7E">
              <w:rPr>
                <w:rFonts w:ascii="Arial" w:hAnsi="Arial" w:cs="Arial"/>
                <w:sz w:val="18"/>
                <w:szCs w:val="18"/>
              </w:rPr>
              <w:t>, Financier</w:t>
            </w:r>
            <w:r w:rsidR="009E6C59" w:rsidRPr="00771B7E">
              <w:rPr>
                <w:rFonts w:ascii="Arial" w:hAnsi="Arial" w:cs="Arial"/>
                <w:sz w:val="18"/>
                <w:szCs w:val="18"/>
              </w:rPr>
              <w:t>o</w:t>
            </w:r>
            <w:r w:rsidRPr="00771B7E">
              <w:rPr>
                <w:rFonts w:ascii="Arial" w:hAnsi="Arial" w:cs="Arial"/>
                <w:sz w:val="18"/>
                <w:szCs w:val="18"/>
              </w:rPr>
              <w:t xml:space="preserve"> y de Control Disci</w:t>
            </w:r>
            <w:bookmarkStart w:id="0" w:name="_GoBack"/>
            <w:bookmarkEnd w:id="0"/>
            <w:r w:rsidRPr="00771B7E">
              <w:rPr>
                <w:rFonts w:ascii="Arial" w:hAnsi="Arial" w:cs="Arial"/>
                <w:sz w:val="18"/>
                <w:szCs w:val="18"/>
              </w:rPr>
              <w:t>plinario</w:t>
            </w:r>
          </w:p>
        </w:tc>
        <w:tc>
          <w:tcPr>
            <w:tcW w:w="3261" w:type="dxa"/>
            <w:vMerge/>
          </w:tcPr>
          <w:p w14:paraId="1307ABDA" w14:textId="77777777" w:rsidR="006D5BAB" w:rsidRPr="00771B7E" w:rsidRDefault="006D5BAB" w:rsidP="009E6C59">
            <w:pPr>
              <w:rPr>
                <w:rFonts w:ascii="Arial" w:hAnsi="Arial" w:cs="Arial"/>
                <w:sz w:val="18"/>
                <w:szCs w:val="18"/>
              </w:rPr>
            </w:pPr>
          </w:p>
        </w:tc>
      </w:tr>
      <w:tr w:rsidR="006D5BAB" w:rsidRPr="00771B7E" w14:paraId="1BA51459" w14:textId="77777777" w:rsidTr="00DC36B8">
        <w:tc>
          <w:tcPr>
            <w:tcW w:w="2992" w:type="dxa"/>
            <w:vMerge/>
          </w:tcPr>
          <w:p w14:paraId="668F1902" w14:textId="77777777" w:rsidR="006D5BAB" w:rsidRPr="00771B7E" w:rsidRDefault="006D5BAB" w:rsidP="009E6C59">
            <w:pPr>
              <w:rPr>
                <w:rFonts w:ascii="Arial" w:hAnsi="Arial" w:cs="Arial"/>
                <w:sz w:val="18"/>
                <w:szCs w:val="18"/>
              </w:rPr>
            </w:pPr>
          </w:p>
        </w:tc>
        <w:tc>
          <w:tcPr>
            <w:tcW w:w="3353" w:type="dxa"/>
          </w:tcPr>
          <w:p w14:paraId="1ABF4409" w14:textId="77777777" w:rsidR="006D5BAB" w:rsidRPr="00771B7E" w:rsidRDefault="006D5BAB" w:rsidP="009E6C59">
            <w:pPr>
              <w:jc w:val="center"/>
              <w:rPr>
                <w:rFonts w:ascii="Arial" w:hAnsi="Arial" w:cs="Arial"/>
                <w:sz w:val="18"/>
                <w:szCs w:val="18"/>
              </w:rPr>
            </w:pPr>
          </w:p>
          <w:p w14:paraId="36A1CCBC" w14:textId="77777777" w:rsidR="006D5BAB" w:rsidRPr="00771B7E" w:rsidRDefault="006D5BAB" w:rsidP="009E6C59">
            <w:pPr>
              <w:jc w:val="center"/>
              <w:rPr>
                <w:rFonts w:ascii="Arial" w:hAnsi="Arial" w:cs="Arial"/>
                <w:sz w:val="18"/>
                <w:szCs w:val="18"/>
              </w:rPr>
            </w:pPr>
            <w:r w:rsidRPr="00771B7E">
              <w:rPr>
                <w:rFonts w:ascii="Arial" w:hAnsi="Arial" w:cs="Arial"/>
                <w:sz w:val="18"/>
                <w:szCs w:val="18"/>
              </w:rPr>
              <w:t>Jefe Oficina Asesora de Planeación</w:t>
            </w:r>
          </w:p>
        </w:tc>
        <w:tc>
          <w:tcPr>
            <w:tcW w:w="3261" w:type="dxa"/>
            <w:vMerge/>
          </w:tcPr>
          <w:p w14:paraId="78381C5D" w14:textId="77777777" w:rsidR="006D5BAB" w:rsidRPr="00771B7E" w:rsidRDefault="006D5BAB" w:rsidP="009E6C59">
            <w:pPr>
              <w:rPr>
                <w:rFonts w:ascii="Arial" w:hAnsi="Arial" w:cs="Arial"/>
                <w:sz w:val="18"/>
                <w:szCs w:val="18"/>
              </w:rPr>
            </w:pPr>
          </w:p>
        </w:tc>
      </w:tr>
      <w:tr w:rsidR="006D5BAB" w:rsidRPr="00771B7E" w14:paraId="269CD924" w14:textId="77777777" w:rsidTr="00DC36B8">
        <w:tc>
          <w:tcPr>
            <w:tcW w:w="2992" w:type="dxa"/>
            <w:vMerge/>
          </w:tcPr>
          <w:p w14:paraId="270A57DA" w14:textId="77777777" w:rsidR="006D5BAB" w:rsidRPr="00771B7E" w:rsidRDefault="006D5BAB" w:rsidP="009E6C59">
            <w:pPr>
              <w:rPr>
                <w:rFonts w:ascii="Arial" w:hAnsi="Arial" w:cs="Arial"/>
                <w:sz w:val="18"/>
                <w:szCs w:val="18"/>
              </w:rPr>
            </w:pPr>
          </w:p>
        </w:tc>
        <w:tc>
          <w:tcPr>
            <w:tcW w:w="3353" w:type="dxa"/>
          </w:tcPr>
          <w:p w14:paraId="52D8FE8A" w14:textId="77777777" w:rsidR="006D5BAB" w:rsidRPr="00771B7E" w:rsidRDefault="006D5BAB" w:rsidP="009E6C59">
            <w:pPr>
              <w:jc w:val="center"/>
              <w:rPr>
                <w:rFonts w:ascii="Arial" w:hAnsi="Arial" w:cs="Arial"/>
                <w:sz w:val="18"/>
                <w:szCs w:val="18"/>
              </w:rPr>
            </w:pPr>
          </w:p>
          <w:p w14:paraId="69A9E4BF" w14:textId="77777777" w:rsidR="006D5BAB" w:rsidRPr="00771B7E" w:rsidRDefault="006D5BAB" w:rsidP="009E6C59">
            <w:pPr>
              <w:jc w:val="center"/>
              <w:rPr>
                <w:rFonts w:ascii="Arial" w:hAnsi="Arial" w:cs="Arial"/>
                <w:sz w:val="18"/>
                <w:szCs w:val="18"/>
              </w:rPr>
            </w:pPr>
            <w:r w:rsidRPr="00771B7E">
              <w:rPr>
                <w:rFonts w:ascii="Arial" w:hAnsi="Arial" w:cs="Arial"/>
                <w:sz w:val="18"/>
                <w:szCs w:val="18"/>
              </w:rPr>
              <w:t>Jefe Oficina Asesora Jurídica</w:t>
            </w:r>
          </w:p>
        </w:tc>
        <w:tc>
          <w:tcPr>
            <w:tcW w:w="3261" w:type="dxa"/>
            <w:vMerge/>
          </w:tcPr>
          <w:p w14:paraId="35B973D1" w14:textId="77777777" w:rsidR="006D5BAB" w:rsidRPr="00771B7E" w:rsidRDefault="006D5BAB" w:rsidP="009E6C59">
            <w:pPr>
              <w:rPr>
                <w:rFonts w:ascii="Arial" w:hAnsi="Arial" w:cs="Arial"/>
                <w:sz w:val="18"/>
                <w:szCs w:val="18"/>
              </w:rPr>
            </w:pPr>
          </w:p>
        </w:tc>
      </w:tr>
      <w:tr w:rsidR="006D5BAB" w:rsidRPr="00771B7E" w14:paraId="28746629" w14:textId="77777777" w:rsidTr="00DC36B8">
        <w:tc>
          <w:tcPr>
            <w:tcW w:w="9606" w:type="dxa"/>
            <w:gridSpan w:val="3"/>
          </w:tcPr>
          <w:p w14:paraId="6A43071A" w14:textId="77777777" w:rsidR="006D5BAB" w:rsidRPr="00771B7E" w:rsidRDefault="006D5BAB" w:rsidP="009E6C59">
            <w:pPr>
              <w:jc w:val="center"/>
              <w:rPr>
                <w:rFonts w:ascii="Arial" w:hAnsi="Arial" w:cs="Arial"/>
                <w:b/>
                <w:sz w:val="18"/>
                <w:szCs w:val="18"/>
              </w:rPr>
            </w:pPr>
            <w:r w:rsidRPr="00771B7E">
              <w:rPr>
                <w:rFonts w:ascii="Arial" w:hAnsi="Arial" w:cs="Arial"/>
                <w:b/>
                <w:sz w:val="18"/>
                <w:szCs w:val="18"/>
              </w:rPr>
              <w:t>Control de cambios</w:t>
            </w:r>
          </w:p>
        </w:tc>
      </w:tr>
      <w:tr w:rsidR="006D5BAB" w:rsidRPr="00771B7E" w14:paraId="6B8B4274" w14:textId="77777777" w:rsidTr="00DC36B8">
        <w:tc>
          <w:tcPr>
            <w:tcW w:w="2992" w:type="dxa"/>
          </w:tcPr>
          <w:p w14:paraId="147FF416" w14:textId="77777777" w:rsidR="006D5BAB" w:rsidRPr="00771B7E" w:rsidRDefault="006D5BAB" w:rsidP="009E6C59">
            <w:pPr>
              <w:jc w:val="center"/>
              <w:rPr>
                <w:rFonts w:ascii="Arial" w:hAnsi="Arial" w:cs="Arial"/>
                <w:b/>
                <w:sz w:val="18"/>
                <w:szCs w:val="18"/>
              </w:rPr>
            </w:pPr>
            <w:r w:rsidRPr="00771B7E">
              <w:rPr>
                <w:rFonts w:ascii="Arial" w:hAnsi="Arial" w:cs="Arial"/>
                <w:b/>
                <w:sz w:val="18"/>
                <w:szCs w:val="18"/>
              </w:rPr>
              <w:t>Fecha</w:t>
            </w:r>
          </w:p>
        </w:tc>
        <w:tc>
          <w:tcPr>
            <w:tcW w:w="6614" w:type="dxa"/>
            <w:gridSpan w:val="2"/>
          </w:tcPr>
          <w:p w14:paraId="0BC3A485" w14:textId="77777777" w:rsidR="006D5BAB" w:rsidRPr="00771B7E" w:rsidRDefault="006D5BAB" w:rsidP="009E6C59">
            <w:pPr>
              <w:jc w:val="center"/>
              <w:rPr>
                <w:rFonts w:ascii="Arial" w:hAnsi="Arial" w:cs="Arial"/>
                <w:b/>
                <w:sz w:val="18"/>
                <w:szCs w:val="18"/>
              </w:rPr>
            </w:pPr>
            <w:r w:rsidRPr="00771B7E">
              <w:rPr>
                <w:rFonts w:ascii="Arial" w:hAnsi="Arial" w:cs="Arial"/>
                <w:b/>
                <w:sz w:val="18"/>
                <w:szCs w:val="18"/>
              </w:rPr>
              <w:t>Descripción</w:t>
            </w:r>
          </w:p>
        </w:tc>
      </w:tr>
      <w:tr w:rsidR="006D5BAB" w:rsidRPr="00771B7E" w14:paraId="128C1113" w14:textId="77777777" w:rsidTr="00DC36B8">
        <w:tc>
          <w:tcPr>
            <w:tcW w:w="2992" w:type="dxa"/>
          </w:tcPr>
          <w:p w14:paraId="58814890" w14:textId="77777777" w:rsidR="006D5BAB" w:rsidRPr="00771B7E" w:rsidRDefault="006D5BAB" w:rsidP="009E6C59">
            <w:pPr>
              <w:jc w:val="center"/>
              <w:rPr>
                <w:rFonts w:ascii="Arial" w:hAnsi="Arial" w:cs="Arial"/>
                <w:sz w:val="18"/>
                <w:szCs w:val="18"/>
              </w:rPr>
            </w:pPr>
          </w:p>
          <w:p w14:paraId="72C98FDB" w14:textId="77777777" w:rsidR="006D5BAB" w:rsidRPr="00771B7E" w:rsidRDefault="006D5BAB" w:rsidP="009E6C59">
            <w:pPr>
              <w:jc w:val="center"/>
              <w:rPr>
                <w:rFonts w:ascii="Arial" w:hAnsi="Arial" w:cs="Arial"/>
                <w:sz w:val="18"/>
                <w:szCs w:val="18"/>
              </w:rPr>
            </w:pPr>
          </w:p>
          <w:p w14:paraId="39A0B2B4" w14:textId="77777777" w:rsidR="006D5BAB" w:rsidRPr="00771B7E" w:rsidRDefault="006D5BAB" w:rsidP="009E6C59">
            <w:pPr>
              <w:jc w:val="center"/>
              <w:rPr>
                <w:rFonts w:ascii="Arial" w:hAnsi="Arial" w:cs="Arial"/>
                <w:sz w:val="18"/>
                <w:szCs w:val="18"/>
              </w:rPr>
            </w:pPr>
            <w:r w:rsidRPr="00771B7E">
              <w:rPr>
                <w:rFonts w:ascii="Arial" w:hAnsi="Arial" w:cs="Arial"/>
                <w:sz w:val="18"/>
                <w:szCs w:val="18"/>
              </w:rPr>
              <w:t>Marzo 23 de 2018</w:t>
            </w:r>
          </w:p>
        </w:tc>
        <w:tc>
          <w:tcPr>
            <w:tcW w:w="6614" w:type="dxa"/>
            <w:gridSpan w:val="2"/>
          </w:tcPr>
          <w:p w14:paraId="64F47DD4" w14:textId="31053388" w:rsidR="006D5BAB" w:rsidRPr="00771B7E" w:rsidRDefault="006D5BAB" w:rsidP="009E6C59">
            <w:pPr>
              <w:rPr>
                <w:rFonts w:ascii="Arial" w:hAnsi="Arial" w:cs="Arial"/>
                <w:sz w:val="18"/>
                <w:szCs w:val="18"/>
              </w:rPr>
            </w:pPr>
            <w:r w:rsidRPr="00771B7E">
              <w:rPr>
                <w:rFonts w:ascii="Arial" w:hAnsi="Arial" w:cs="Arial"/>
                <w:sz w:val="18"/>
                <w:szCs w:val="18"/>
              </w:rPr>
              <w:t xml:space="preserve">Creación documento teniendo en cuenta los lineamientos del Manual Único de </w:t>
            </w:r>
            <w:r w:rsidR="009E6C59" w:rsidRPr="00771B7E">
              <w:rPr>
                <w:rFonts w:ascii="Arial" w:hAnsi="Arial" w:cs="Arial"/>
                <w:sz w:val="18"/>
                <w:szCs w:val="18"/>
              </w:rPr>
              <w:t>R</w:t>
            </w:r>
            <w:r w:rsidRPr="00771B7E">
              <w:rPr>
                <w:rFonts w:ascii="Arial" w:hAnsi="Arial" w:cs="Arial"/>
                <w:sz w:val="18"/>
                <w:szCs w:val="18"/>
              </w:rPr>
              <w:t xml:space="preserve">endición de </w:t>
            </w:r>
            <w:r w:rsidR="009E6C59" w:rsidRPr="00771B7E">
              <w:rPr>
                <w:rFonts w:ascii="Arial" w:hAnsi="Arial" w:cs="Arial"/>
                <w:sz w:val="18"/>
                <w:szCs w:val="18"/>
              </w:rPr>
              <w:t>C</w:t>
            </w:r>
            <w:r w:rsidRPr="00771B7E">
              <w:rPr>
                <w:rFonts w:ascii="Arial" w:hAnsi="Arial" w:cs="Arial"/>
                <w:sz w:val="18"/>
                <w:szCs w:val="18"/>
              </w:rPr>
              <w:t>uentas de la Presidencia de la República- Secretaría de Transparencia- Departamento Administrativo de la Función Pública DAFP y el Departamento Nacional de Planeación DNP</w:t>
            </w:r>
          </w:p>
        </w:tc>
      </w:tr>
      <w:tr w:rsidR="00FD5D5A" w:rsidRPr="00771B7E" w14:paraId="6C3803D1" w14:textId="77777777" w:rsidTr="00DC36B8">
        <w:tc>
          <w:tcPr>
            <w:tcW w:w="2992" w:type="dxa"/>
          </w:tcPr>
          <w:p w14:paraId="2277BE53" w14:textId="77777777" w:rsidR="00FD5D5A" w:rsidRPr="00771B7E" w:rsidRDefault="00DC36B8" w:rsidP="009E6C59">
            <w:pPr>
              <w:jc w:val="center"/>
              <w:rPr>
                <w:rFonts w:ascii="Arial" w:hAnsi="Arial" w:cs="Arial"/>
                <w:sz w:val="18"/>
                <w:szCs w:val="18"/>
              </w:rPr>
            </w:pPr>
            <w:r w:rsidRPr="00771B7E">
              <w:rPr>
                <w:rFonts w:ascii="Arial" w:hAnsi="Arial" w:cs="Arial"/>
                <w:sz w:val="18"/>
                <w:szCs w:val="18"/>
              </w:rPr>
              <w:t>Octubre</w:t>
            </w:r>
            <w:r w:rsidR="00FD5D5A" w:rsidRPr="00771B7E">
              <w:rPr>
                <w:rFonts w:ascii="Arial" w:hAnsi="Arial" w:cs="Arial"/>
                <w:sz w:val="18"/>
                <w:szCs w:val="18"/>
              </w:rPr>
              <w:t xml:space="preserve"> </w:t>
            </w:r>
            <w:r w:rsidRPr="00771B7E">
              <w:rPr>
                <w:rFonts w:ascii="Arial" w:hAnsi="Arial" w:cs="Arial"/>
                <w:sz w:val="18"/>
                <w:szCs w:val="18"/>
              </w:rPr>
              <w:t>31</w:t>
            </w:r>
            <w:r w:rsidR="00FD5D5A" w:rsidRPr="00771B7E">
              <w:rPr>
                <w:rFonts w:ascii="Arial" w:hAnsi="Arial" w:cs="Arial"/>
                <w:sz w:val="18"/>
                <w:szCs w:val="18"/>
              </w:rPr>
              <w:t xml:space="preserve"> de 2018 </w:t>
            </w:r>
          </w:p>
        </w:tc>
        <w:tc>
          <w:tcPr>
            <w:tcW w:w="6614" w:type="dxa"/>
            <w:gridSpan w:val="2"/>
          </w:tcPr>
          <w:p w14:paraId="66CD475F" w14:textId="77777777" w:rsidR="00FD5D5A" w:rsidRPr="00771B7E" w:rsidRDefault="00FD5D5A" w:rsidP="009E6C59">
            <w:pPr>
              <w:rPr>
                <w:rFonts w:ascii="Arial" w:hAnsi="Arial" w:cs="Arial"/>
                <w:sz w:val="18"/>
                <w:szCs w:val="18"/>
              </w:rPr>
            </w:pPr>
            <w:r w:rsidRPr="00771B7E">
              <w:rPr>
                <w:rFonts w:ascii="Arial" w:hAnsi="Arial" w:cs="Arial"/>
                <w:sz w:val="18"/>
                <w:szCs w:val="18"/>
              </w:rPr>
              <w:t xml:space="preserve">Actualización </w:t>
            </w:r>
            <w:r w:rsidR="009D4E65" w:rsidRPr="00771B7E">
              <w:rPr>
                <w:rFonts w:ascii="Arial" w:hAnsi="Arial" w:cs="Arial"/>
                <w:sz w:val="18"/>
                <w:szCs w:val="18"/>
              </w:rPr>
              <w:t xml:space="preserve">de las acciones de dialogo del numeral 4.4 </w:t>
            </w:r>
          </w:p>
        </w:tc>
      </w:tr>
      <w:tr w:rsidR="0060157C" w:rsidRPr="00771B7E" w14:paraId="7DA6CF5E" w14:textId="77777777" w:rsidTr="00DC36B8">
        <w:tc>
          <w:tcPr>
            <w:tcW w:w="2992" w:type="dxa"/>
          </w:tcPr>
          <w:p w14:paraId="3BF74FE1" w14:textId="77777777" w:rsidR="0060157C" w:rsidRPr="00771B7E" w:rsidRDefault="0060157C" w:rsidP="009E6C59">
            <w:pPr>
              <w:jc w:val="center"/>
              <w:rPr>
                <w:rFonts w:ascii="Arial" w:hAnsi="Arial" w:cs="Arial"/>
                <w:sz w:val="18"/>
                <w:szCs w:val="18"/>
              </w:rPr>
            </w:pPr>
            <w:r w:rsidRPr="00771B7E">
              <w:rPr>
                <w:rFonts w:ascii="Arial" w:hAnsi="Arial" w:cs="Arial"/>
                <w:sz w:val="18"/>
                <w:szCs w:val="18"/>
              </w:rPr>
              <w:t>Enero 31  de 2019</w:t>
            </w:r>
          </w:p>
        </w:tc>
        <w:tc>
          <w:tcPr>
            <w:tcW w:w="6614" w:type="dxa"/>
            <w:gridSpan w:val="2"/>
          </w:tcPr>
          <w:p w14:paraId="19C03465" w14:textId="2F96C1B9" w:rsidR="0060157C" w:rsidRPr="00771B7E" w:rsidRDefault="0060157C" w:rsidP="009E6C59">
            <w:pPr>
              <w:rPr>
                <w:rFonts w:ascii="Arial" w:hAnsi="Arial" w:cs="Arial"/>
                <w:sz w:val="18"/>
                <w:szCs w:val="18"/>
              </w:rPr>
            </w:pPr>
            <w:r w:rsidRPr="00771B7E">
              <w:rPr>
                <w:rFonts w:ascii="Arial" w:hAnsi="Arial" w:cs="Arial"/>
                <w:sz w:val="18"/>
                <w:szCs w:val="18"/>
              </w:rPr>
              <w:t xml:space="preserve">Actualización del documento con los lineamientos del Manual Único de Rendición de </w:t>
            </w:r>
            <w:r w:rsidR="009E6C59" w:rsidRPr="00771B7E">
              <w:rPr>
                <w:rFonts w:ascii="Arial" w:hAnsi="Arial" w:cs="Arial"/>
                <w:sz w:val="18"/>
                <w:szCs w:val="18"/>
              </w:rPr>
              <w:t>C</w:t>
            </w:r>
            <w:r w:rsidRPr="00771B7E">
              <w:rPr>
                <w:rFonts w:ascii="Arial" w:hAnsi="Arial" w:cs="Arial"/>
                <w:sz w:val="18"/>
                <w:szCs w:val="18"/>
              </w:rPr>
              <w:t xml:space="preserve">uentas de Función Pública con un enfoque en Derechos Humanos </w:t>
            </w:r>
          </w:p>
        </w:tc>
      </w:tr>
      <w:tr w:rsidR="00597B06" w:rsidRPr="00771B7E" w14:paraId="7C1F031F" w14:textId="77777777" w:rsidTr="00DC36B8">
        <w:tc>
          <w:tcPr>
            <w:tcW w:w="2992" w:type="dxa"/>
          </w:tcPr>
          <w:p w14:paraId="5D5F184C" w14:textId="4CC7BC8A" w:rsidR="00597B06" w:rsidRPr="00771B7E" w:rsidRDefault="00597B06" w:rsidP="009E6C59">
            <w:pPr>
              <w:jc w:val="center"/>
              <w:rPr>
                <w:rFonts w:ascii="Arial" w:hAnsi="Arial" w:cs="Arial"/>
                <w:sz w:val="18"/>
                <w:szCs w:val="18"/>
              </w:rPr>
            </w:pPr>
            <w:r w:rsidRPr="00771B7E">
              <w:rPr>
                <w:rFonts w:ascii="Arial" w:hAnsi="Arial" w:cs="Arial"/>
                <w:sz w:val="18"/>
                <w:szCs w:val="18"/>
              </w:rPr>
              <w:t xml:space="preserve">Marzo 30 de 2019 </w:t>
            </w:r>
          </w:p>
        </w:tc>
        <w:tc>
          <w:tcPr>
            <w:tcW w:w="6614" w:type="dxa"/>
            <w:gridSpan w:val="2"/>
          </w:tcPr>
          <w:p w14:paraId="24340E8D" w14:textId="5933B4B7" w:rsidR="00597B06" w:rsidRPr="00771B7E" w:rsidRDefault="00597B06" w:rsidP="00597B06">
            <w:pPr>
              <w:jc w:val="both"/>
              <w:rPr>
                <w:rFonts w:ascii="Arial" w:hAnsi="Arial" w:cs="Arial"/>
                <w:sz w:val="18"/>
                <w:szCs w:val="18"/>
              </w:rPr>
            </w:pPr>
            <w:r w:rsidRPr="00771B7E">
              <w:rPr>
                <w:rFonts w:ascii="Arial" w:hAnsi="Arial" w:cs="Arial"/>
                <w:sz w:val="18"/>
                <w:szCs w:val="18"/>
              </w:rPr>
              <w:t xml:space="preserve">Se incorpora al documento, los resultados del autodiagnóstico de la Rendición de Cuentas, atendiendo a los lineamientos del Modelo Integrado de Planeación y Gestión. </w:t>
            </w:r>
          </w:p>
        </w:tc>
      </w:tr>
    </w:tbl>
    <w:p w14:paraId="036E50B3" w14:textId="77777777" w:rsidR="00B37228" w:rsidRPr="00771B7E" w:rsidRDefault="00B37228" w:rsidP="009E6C59">
      <w:pPr>
        <w:jc w:val="center"/>
        <w:rPr>
          <w:rFonts w:ascii="Arial" w:hAnsi="Arial" w:cs="Arial"/>
          <w:sz w:val="22"/>
          <w:szCs w:val="22"/>
        </w:rPr>
      </w:pPr>
    </w:p>
    <w:p w14:paraId="3A1A86C5" w14:textId="77777777" w:rsidR="000F5610" w:rsidRPr="00771B7E" w:rsidRDefault="000F5610" w:rsidP="009E6C59">
      <w:pPr>
        <w:jc w:val="center"/>
        <w:rPr>
          <w:rFonts w:ascii="Arial" w:hAnsi="Arial" w:cs="Arial"/>
          <w:sz w:val="22"/>
          <w:szCs w:val="22"/>
        </w:rPr>
      </w:pPr>
    </w:p>
    <w:p w14:paraId="26B0FFB2" w14:textId="77777777" w:rsidR="000F5610" w:rsidRPr="00771B7E" w:rsidRDefault="000F5610" w:rsidP="009E6C59">
      <w:pPr>
        <w:jc w:val="center"/>
        <w:rPr>
          <w:rFonts w:ascii="Arial" w:hAnsi="Arial" w:cs="Arial"/>
          <w:sz w:val="22"/>
          <w:szCs w:val="22"/>
        </w:rPr>
      </w:pPr>
    </w:p>
    <w:p w14:paraId="6F4E181E" w14:textId="77777777" w:rsidR="000F5610" w:rsidRPr="00771B7E" w:rsidRDefault="000F5610" w:rsidP="009E6C59">
      <w:pPr>
        <w:jc w:val="center"/>
        <w:rPr>
          <w:rFonts w:ascii="Arial" w:hAnsi="Arial" w:cs="Arial"/>
          <w:sz w:val="22"/>
          <w:szCs w:val="22"/>
        </w:rPr>
      </w:pPr>
    </w:p>
    <w:p w14:paraId="2200298A" w14:textId="77777777" w:rsidR="00B37228" w:rsidRPr="00771B7E" w:rsidRDefault="00B37228" w:rsidP="009E6C59">
      <w:pPr>
        <w:jc w:val="center"/>
        <w:rPr>
          <w:rFonts w:ascii="Arial" w:hAnsi="Arial" w:cs="Arial"/>
          <w:sz w:val="22"/>
          <w:szCs w:val="22"/>
        </w:rPr>
      </w:pPr>
    </w:p>
    <w:p w14:paraId="7B4669AC" w14:textId="77777777" w:rsidR="00B37228" w:rsidRPr="00771B7E" w:rsidRDefault="00B37228" w:rsidP="009E6C59">
      <w:pPr>
        <w:jc w:val="center"/>
        <w:rPr>
          <w:rFonts w:ascii="Arial" w:hAnsi="Arial" w:cs="Arial"/>
          <w:sz w:val="22"/>
          <w:szCs w:val="22"/>
        </w:rPr>
      </w:pPr>
    </w:p>
    <w:p w14:paraId="5750E3D1" w14:textId="77777777" w:rsidR="00B37228" w:rsidRPr="00771B7E" w:rsidRDefault="00B37228" w:rsidP="009E6C59">
      <w:pPr>
        <w:jc w:val="center"/>
        <w:rPr>
          <w:rFonts w:ascii="Arial" w:hAnsi="Arial" w:cs="Arial"/>
          <w:sz w:val="22"/>
          <w:szCs w:val="22"/>
        </w:rPr>
      </w:pPr>
    </w:p>
    <w:p w14:paraId="5540BE56" w14:textId="77777777" w:rsidR="00B37228" w:rsidRPr="00771B7E" w:rsidRDefault="00B37228" w:rsidP="009E6C59">
      <w:pPr>
        <w:jc w:val="center"/>
        <w:rPr>
          <w:rFonts w:ascii="Arial" w:hAnsi="Arial" w:cs="Arial"/>
          <w:sz w:val="22"/>
          <w:szCs w:val="22"/>
        </w:rPr>
      </w:pPr>
    </w:p>
    <w:p w14:paraId="2FD2DB49" w14:textId="77777777" w:rsidR="00B37228" w:rsidRPr="00771B7E" w:rsidRDefault="00B37228" w:rsidP="009E6C59">
      <w:pPr>
        <w:jc w:val="center"/>
        <w:rPr>
          <w:rFonts w:ascii="Arial" w:hAnsi="Arial" w:cs="Arial"/>
          <w:sz w:val="22"/>
          <w:szCs w:val="22"/>
        </w:rPr>
      </w:pPr>
    </w:p>
    <w:p w14:paraId="47334487" w14:textId="77777777" w:rsidR="00B37228" w:rsidRPr="00771B7E" w:rsidRDefault="00B37228" w:rsidP="009E6C59">
      <w:pPr>
        <w:jc w:val="center"/>
        <w:rPr>
          <w:rFonts w:ascii="Arial" w:hAnsi="Arial" w:cs="Arial"/>
          <w:sz w:val="22"/>
          <w:szCs w:val="22"/>
        </w:rPr>
      </w:pPr>
    </w:p>
    <w:p w14:paraId="14D8D40D" w14:textId="77777777" w:rsidR="006400F1" w:rsidRPr="00771B7E" w:rsidRDefault="006400F1" w:rsidP="009E6C59">
      <w:pPr>
        <w:jc w:val="center"/>
        <w:rPr>
          <w:rFonts w:ascii="Arial" w:hAnsi="Arial" w:cs="Arial"/>
          <w:sz w:val="22"/>
          <w:szCs w:val="22"/>
        </w:rPr>
      </w:pPr>
    </w:p>
    <w:p w14:paraId="5D4BA481" w14:textId="77777777" w:rsidR="006400F1" w:rsidRPr="00771B7E" w:rsidRDefault="006400F1" w:rsidP="009E6C59">
      <w:pPr>
        <w:jc w:val="center"/>
        <w:rPr>
          <w:rFonts w:ascii="Arial" w:hAnsi="Arial" w:cs="Arial"/>
          <w:sz w:val="22"/>
          <w:szCs w:val="22"/>
        </w:rPr>
      </w:pPr>
    </w:p>
    <w:p w14:paraId="39F2C207" w14:textId="77777777" w:rsidR="006400F1" w:rsidRPr="00771B7E" w:rsidRDefault="006400F1" w:rsidP="009E6C59">
      <w:pPr>
        <w:jc w:val="center"/>
        <w:rPr>
          <w:rFonts w:ascii="Arial" w:hAnsi="Arial" w:cs="Arial"/>
          <w:sz w:val="22"/>
          <w:szCs w:val="22"/>
        </w:rPr>
      </w:pPr>
    </w:p>
    <w:p w14:paraId="310A663A" w14:textId="77777777" w:rsidR="006400F1" w:rsidRPr="00771B7E" w:rsidRDefault="006400F1" w:rsidP="009E6C59">
      <w:pPr>
        <w:jc w:val="center"/>
        <w:rPr>
          <w:rFonts w:ascii="Arial" w:hAnsi="Arial" w:cs="Arial"/>
          <w:sz w:val="22"/>
          <w:szCs w:val="22"/>
        </w:rPr>
      </w:pPr>
    </w:p>
    <w:p w14:paraId="7700972F" w14:textId="77777777" w:rsidR="006400F1" w:rsidRPr="00771B7E" w:rsidRDefault="006400F1" w:rsidP="009E6C59">
      <w:pPr>
        <w:jc w:val="center"/>
        <w:rPr>
          <w:rFonts w:ascii="Arial" w:hAnsi="Arial" w:cs="Arial"/>
          <w:sz w:val="22"/>
          <w:szCs w:val="22"/>
        </w:rPr>
      </w:pPr>
    </w:p>
    <w:p w14:paraId="4EB58209" w14:textId="77777777" w:rsidR="001A6FB1" w:rsidRPr="00771B7E" w:rsidRDefault="001A6FB1" w:rsidP="009E6C59">
      <w:pPr>
        <w:jc w:val="center"/>
        <w:rPr>
          <w:rFonts w:ascii="Arial" w:hAnsi="Arial" w:cs="Arial"/>
          <w:sz w:val="22"/>
          <w:szCs w:val="22"/>
        </w:rPr>
      </w:pPr>
    </w:p>
    <w:p w14:paraId="244A7AD3" w14:textId="77777777" w:rsidR="001A6FB1" w:rsidRPr="00771B7E" w:rsidRDefault="001A6FB1" w:rsidP="009E6C59">
      <w:pPr>
        <w:jc w:val="center"/>
        <w:rPr>
          <w:rFonts w:ascii="Arial" w:hAnsi="Arial" w:cs="Arial"/>
          <w:sz w:val="22"/>
          <w:szCs w:val="22"/>
        </w:rPr>
      </w:pPr>
    </w:p>
    <w:p w14:paraId="6CB4D74A" w14:textId="77777777" w:rsidR="006400F1" w:rsidRPr="00771B7E" w:rsidRDefault="006400F1" w:rsidP="009E6C59">
      <w:pPr>
        <w:jc w:val="center"/>
        <w:rPr>
          <w:rFonts w:ascii="Arial" w:hAnsi="Arial" w:cs="Arial"/>
          <w:sz w:val="22"/>
          <w:szCs w:val="22"/>
        </w:rPr>
      </w:pPr>
    </w:p>
    <w:p w14:paraId="70B41D67" w14:textId="77777777" w:rsidR="006400F1" w:rsidRPr="00771B7E" w:rsidRDefault="006400F1" w:rsidP="009E6C59">
      <w:pPr>
        <w:jc w:val="center"/>
        <w:rPr>
          <w:rFonts w:ascii="Arial" w:hAnsi="Arial" w:cs="Arial"/>
          <w:sz w:val="22"/>
          <w:szCs w:val="22"/>
        </w:rPr>
      </w:pPr>
    </w:p>
    <w:p w14:paraId="48D8EB6F" w14:textId="77777777" w:rsidR="006400F1" w:rsidRPr="00771B7E" w:rsidRDefault="006400F1" w:rsidP="009E6C59">
      <w:pPr>
        <w:jc w:val="center"/>
        <w:rPr>
          <w:rFonts w:ascii="Arial" w:hAnsi="Arial" w:cs="Arial"/>
          <w:sz w:val="22"/>
          <w:szCs w:val="22"/>
        </w:rPr>
      </w:pPr>
    </w:p>
    <w:sdt>
      <w:sdtPr>
        <w:rPr>
          <w:rFonts w:ascii="Arial" w:eastAsiaTheme="minorEastAsia" w:hAnsi="Arial" w:cs="Arial"/>
          <w:b/>
          <w:bCs/>
          <w:color w:val="auto"/>
          <w:sz w:val="22"/>
          <w:szCs w:val="22"/>
          <w:lang w:val="es-ES"/>
        </w:rPr>
        <w:id w:val="-121923425"/>
        <w:docPartObj>
          <w:docPartGallery w:val="Table of Contents"/>
          <w:docPartUnique/>
        </w:docPartObj>
      </w:sdtPr>
      <w:sdtEndPr>
        <w:rPr>
          <w:rFonts w:eastAsia="Times New Roman"/>
          <w:b w:val="0"/>
          <w:bCs w:val="0"/>
          <w:noProof/>
          <w:lang w:val="es-ES_tradnl"/>
        </w:rPr>
      </w:sdtEndPr>
      <w:sdtContent>
        <w:p w14:paraId="44CCD445" w14:textId="77777777" w:rsidR="00B37228" w:rsidRPr="00771B7E" w:rsidRDefault="00B37228" w:rsidP="009E6C59">
          <w:pPr>
            <w:pStyle w:val="TtulodeTDC"/>
            <w:spacing w:line="240" w:lineRule="auto"/>
            <w:jc w:val="center"/>
            <w:rPr>
              <w:rFonts w:ascii="Arial" w:hAnsi="Arial" w:cs="Arial"/>
              <w:color w:val="auto"/>
              <w:sz w:val="22"/>
              <w:szCs w:val="22"/>
              <w:lang w:val="es-ES"/>
            </w:rPr>
          </w:pPr>
          <w:r w:rsidRPr="00771B7E">
            <w:rPr>
              <w:rFonts w:ascii="Arial" w:hAnsi="Arial" w:cs="Arial"/>
              <w:color w:val="auto"/>
              <w:sz w:val="22"/>
              <w:szCs w:val="22"/>
              <w:lang w:val="es-ES"/>
            </w:rPr>
            <w:t>TABLA DE CONTENIDO</w:t>
          </w:r>
        </w:p>
        <w:p w14:paraId="00F837D5" w14:textId="77777777" w:rsidR="00B37228" w:rsidRPr="00771B7E" w:rsidRDefault="00B37228" w:rsidP="009E6C59">
          <w:pPr>
            <w:rPr>
              <w:rFonts w:ascii="Arial" w:hAnsi="Arial" w:cs="Arial"/>
              <w:sz w:val="22"/>
              <w:szCs w:val="22"/>
            </w:rPr>
          </w:pPr>
        </w:p>
        <w:p w14:paraId="602C941C" w14:textId="77777777" w:rsidR="006C7AC0" w:rsidRPr="00771B7E" w:rsidRDefault="00F6298D">
          <w:pPr>
            <w:pStyle w:val="TDC1"/>
            <w:rPr>
              <w:rFonts w:eastAsiaTheme="minorEastAsia"/>
              <w:bCs w:val="0"/>
              <w:kern w:val="0"/>
              <w:lang w:eastAsia="es-CO"/>
            </w:rPr>
          </w:pPr>
          <w:r w:rsidRPr="00771B7E">
            <w:rPr>
              <w:bCs w:val="0"/>
              <w:noProof w:val="0"/>
            </w:rPr>
            <w:fldChar w:fldCharType="begin"/>
          </w:r>
          <w:r w:rsidR="00B37228" w:rsidRPr="00771B7E">
            <w:instrText>TOC \o "1-3" \h \z \u</w:instrText>
          </w:r>
          <w:r w:rsidRPr="00771B7E">
            <w:rPr>
              <w:bCs w:val="0"/>
              <w:noProof w:val="0"/>
            </w:rPr>
            <w:fldChar w:fldCharType="separate"/>
          </w:r>
          <w:hyperlink w:anchor="_Toc1986548" w:history="1">
            <w:r w:rsidR="006C7AC0" w:rsidRPr="00771B7E">
              <w:rPr>
                <w:rStyle w:val="Hipervnculo"/>
              </w:rPr>
              <w:t>INTRODUCCIÓN</w:t>
            </w:r>
            <w:r w:rsidR="006C7AC0" w:rsidRPr="00771B7E">
              <w:rPr>
                <w:webHidden/>
              </w:rPr>
              <w:tab/>
            </w:r>
            <w:r w:rsidR="006C7AC0" w:rsidRPr="00771B7E">
              <w:rPr>
                <w:webHidden/>
              </w:rPr>
              <w:fldChar w:fldCharType="begin"/>
            </w:r>
            <w:r w:rsidR="006C7AC0" w:rsidRPr="00771B7E">
              <w:rPr>
                <w:webHidden/>
              </w:rPr>
              <w:instrText xml:space="preserve"> PAGEREF _Toc1986548 \h </w:instrText>
            </w:r>
            <w:r w:rsidR="006C7AC0" w:rsidRPr="00771B7E">
              <w:rPr>
                <w:webHidden/>
              </w:rPr>
            </w:r>
            <w:r w:rsidR="006C7AC0" w:rsidRPr="00771B7E">
              <w:rPr>
                <w:webHidden/>
              </w:rPr>
              <w:fldChar w:fldCharType="separate"/>
            </w:r>
            <w:r w:rsidR="00771B7E" w:rsidRPr="00771B7E">
              <w:rPr>
                <w:webHidden/>
              </w:rPr>
              <w:t>2</w:t>
            </w:r>
            <w:r w:rsidR="006C7AC0" w:rsidRPr="00771B7E">
              <w:rPr>
                <w:webHidden/>
              </w:rPr>
              <w:fldChar w:fldCharType="end"/>
            </w:r>
          </w:hyperlink>
        </w:p>
        <w:p w14:paraId="293AE1FF" w14:textId="77777777" w:rsidR="006C7AC0" w:rsidRPr="00771B7E" w:rsidRDefault="00FD3519">
          <w:pPr>
            <w:pStyle w:val="TDC1"/>
            <w:rPr>
              <w:rFonts w:eastAsiaTheme="minorEastAsia"/>
              <w:bCs w:val="0"/>
              <w:kern w:val="0"/>
              <w:lang w:eastAsia="es-CO"/>
            </w:rPr>
          </w:pPr>
          <w:hyperlink w:anchor="_Toc1986549" w:history="1">
            <w:r w:rsidR="006C7AC0" w:rsidRPr="00771B7E">
              <w:rPr>
                <w:rStyle w:val="Hipervnculo"/>
              </w:rPr>
              <w:t>OBJETIVOS DE LA RENDICIÓN DE CUENTAS</w:t>
            </w:r>
            <w:r w:rsidR="006C7AC0" w:rsidRPr="00771B7E">
              <w:rPr>
                <w:webHidden/>
              </w:rPr>
              <w:tab/>
            </w:r>
            <w:r w:rsidR="006C7AC0" w:rsidRPr="00771B7E">
              <w:rPr>
                <w:webHidden/>
              </w:rPr>
              <w:fldChar w:fldCharType="begin"/>
            </w:r>
            <w:r w:rsidR="006C7AC0" w:rsidRPr="00771B7E">
              <w:rPr>
                <w:webHidden/>
              </w:rPr>
              <w:instrText xml:space="preserve"> PAGEREF _Toc1986549 \h </w:instrText>
            </w:r>
            <w:r w:rsidR="006C7AC0" w:rsidRPr="00771B7E">
              <w:rPr>
                <w:webHidden/>
              </w:rPr>
            </w:r>
            <w:r w:rsidR="006C7AC0" w:rsidRPr="00771B7E">
              <w:rPr>
                <w:webHidden/>
              </w:rPr>
              <w:fldChar w:fldCharType="separate"/>
            </w:r>
            <w:r w:rsidR="00771B7E" w:rsidRPr="00771B7E">
              <w:rPr>
                <w:webHidden/>
              </w:rPr>
              <w:t>3</w:t>
            </w:r>
            <w:r w:rsidR="006C7AC0" w:rsidRPr="00771B7E">
              <w:rPr>
                <w:webHidden/>
              </w:rPr>
              <w:fldChar w:fldCharType="end"/>
            </w:r>
          </w:hyperlink>
        </w:p>
        <w:p w14:paraId="52FCB5B9" w14:textId="77777777" w:rsidR="006C7AC0" w:rsidRPr="00771B7E" w:rsidRDefault="00FD3519">
          <w:pPr>
            <w:pStyle w:val="TDC1"/>
            <w:rPr>
              <w:rFonts w:eastAsiaTheme="minorEastAsia"/>
              <w:bCs w:val="0"/>
              <w:kern w:val="0"/>
              <w:lang w:eastAsia="es-CO"/>
            </w:rPr>
          </w:pPr>
          <w:hyperlink w:anchor="_Toc1986550" w:history="1">
            <w:r w:rsidR="006C7AC0" w:rsidRPr="00771B7E">
              <w:rPr>
                <w:rStyle w:val="Hipervnculo"/>
              </w:rPr>
              <w:t>1.</w:t>
            </w:r>
            <w:r w:rsidR="006C7AC0" w:rsidRPr="00771B7E">
              <w:rPr>
                <w:rFonts w:eastAsiaTheme="minorEastAsia"/>
                <w:bCs w:val="0"/>
                <w:kern w:val="0"/>
                <w:lang w:eastAsia="es-CO"/>
              </w:rPr>
              <w:tab/>
            </w:r>
            <w:r w:rsidR="006C7AC0" w:rsidRPr="00771B7E">
              <w:rPr>
                <w:rStyle w:val="Hipervnculo"/>
              </w:rPr>
              <w:t>ANÁLISIS DEL ESTADO DEL PROCESO DE RENDICIÓN DE CUENTAS DEL IDEP</w:t>
            </w:r>
            <w:r w:rsidR="006C7AC0" w:rsidRPr="00771B7E">
              <w:rPr>
                <w:webHidden/>
              </w:rPr>
              <w:tab/>
            </w:r>
            <w:r w:rsidR="006C7AC0" w:rsidRPr="00771B7E">
              <w:rPr>
                <w:webHidden/>
              </w:rPr>
              <w:fldChar w:fldCharType="begin"/>
            </w:r>
            <w:r w:rsidR="006C7AC0" w:rsidRPr="00771B7E">
              <w:rPr>
                <w:webHidden/>
              </w:rPr>
              <w:instrText xml:space="preserve"> PAGEREF _Toc1986550 \h </w:instrText>
            </w:r>
            <w:r w:rsidR="006C7AC0" w:rsidRPr="00771B7E">
              <w:rPr>
                <w:webHidden/>
              </w:rPr>
            </w:r>
            <w:r w:rsidR="006C7AC0" w:rsidRPr="00771B7E">
              <w:rPr>
                <w:webHidden/>
              </w:rPr>
              <w:fldChar w:fldCharType="separate"/>
            </w:r>
            <w:r w:rsidR="00771B7E" w:rsidRPr="00771B7E">
              <w:rPr>
                <w:webHidden/>
              </w:rPr>
              <w:t>3</w:t>
            </w:r>
            <w:r w:rsidR="006C7AC0" w:rsidRPr="00771B7E">
              <w:rPr>
                <w:webHidden/>
              </w:rPr>
              <w:fldChar w:fldCharType="end"/>
            </w:r>
          </w:hyperlink>
        </w:p>
        <w:p w14:paraId="43D45BFD" w14:textId="77777777" w:rsidR="006C7AC0" w:rsidRPr="00771B7E" w:rsidRDefault="00FD3519">
          <w:pPr>
            <w:pStyle w:val="TDC2"/>
            <w:rPr>
              <w:rFonts w:eastAsiaTheme="minorEastAsia"/>
              <w:iCs w:val="0"/>
            </w:rPr>
          </w:pPr>
          <w:hyperlink w:anchor="_Toc1986551" w:history="1">
            <w:r w:rsidR="006C7AC0" w:rsidRPr="00771B7E">
              <w:rPr>
                <w:rStyle w:val="Hipervnculo"/>
                <w:rFonts w:eastAsia="Arial"/>
              </w:rPr>
              <w:t>1.1.</w:t>
            </w:r>
            <w:r w:rsidR="006C7AC0" w:rsidRPr="00771B7E">
              <w:rPr>
                <w:rFonts w:eastAsiaTheme="minorEastAsia"/>
                <w:iCs w:val="0"/>
              </w:rPr>
              <w:tab/>
            </w:r>
            <w:r w:rsidR="006C7AC0" w:rsidRPr="00771B7E">
              <w:rPr>
                <w:rStyle w:val="Hipervnculo"/>
                <w:rFonts w:eastAsia="Arial"/>
              </w:rPr>
              <w:t>Autodiagnóstico Modelo Integrado de Gestión y Planeación</w:t>
            </w:r>
            <w:r w:rsidR="006C7AC0" w:rsidRPr="00771B7E">
              <w:rPr>
                <w:webHidden/>
              </w:rPr>
              <w:tab/>
            </w:r>
            <w:r w:rsidR="006C7AC0" w:rsidRPr="00771B7E">
              <w:rPr>
                <w:webHidden/>
              </w:rPr>
              <w:fldChar w:fldCharType="begin"/>
            </w:r>
            <w:r w:rsidR="006C7AC0" w:rsidRPr="00771B7E">
              <w:rPr>
                <w:webHidden/>
              </w:rPr>
              <w:instrText xml:space="preserve"> PAGEREF _Toc1986551 \h </w:instrText>
            </w:r>
            <w:r w:rsidR="006C7AC0" w:rsidRPr="00771B7E">
              <w:rPr>
                <w:webHidden/>
              </w:rPr>
            </w:r>
            <w:r w:rsidR="006C7AC0" w:rsidRPr="00771B7E">
              <w:rPr>
                <w:webHidden/>
              </w:rPr>
              <w:fldChar w:fldCharType="separate"/>
            </w:r>
            <w:r w:rsidR="00771B7E" w:rsidRPr="00771B7E">
              <w:rPr>
                <w:webHidden/>
              </w:rPr>
              <w:t>4</w:t>
            </w:r>
            <w:r w:rsidR="006C7AC0" w:rsidRPr="00771B7E">
              <w:rPr>
                <w:webHidden/>
              </w:rPr>
              <w:fldChar w:fldCharType="end"/>
            </w:r>
          </w:hyperlink>
        </w:p>
        <w:p w14:paraId="44D9D453" w14:textId="77777777" w:rsidR="006C7AC0" w:rsidRPr="00771B7E" w:rsidRDefault="00FD3519">
          <w:pPr>
            <w:pStyle w:val="TDC2"/>
            <w:rPr>
              <w:rFonts w:eastAsiaTheme="minorEastAsia"/>
              <w:iCs w:val="0"/>
            </w:rPr>
          </w:pPr>
          <w:hyperlink w:anchor="_Toc1986552" w:history="1">
            <w:r w:rsidR="006C7AC0" w:rsidRPr="00771B7E">
              <w:rPr>
                <w:rStyle w:val="Hipervnculo"/>
                <w:rFonts w:eastAsia="Arial"/>
              </w:rPr>
              <w:t>1.2.</w:t>
            </w:r>
            <w:r w:rsidR="006C7AC0" w:rsidRPr="00771B7E">
              <w:rPr>
                <w:rFonts w:eastAsiaTheme="minorEastAsia"/>
                <w:iCs w:val="0"/>
              </w:rPr>
              <w:tab/>
            </w:r>
            <w:r w:rsidR="006C7AC0" w:rsidRPr="00771B7E">
              <w:rPr>
                <w:rStyle w:val="Hipervnculo"/>
                <w:rFonts w:eastAsia="Arial"/>
              </w:rPr>
              <w:t>Presupuesto asociado a las actividades que se implementarán en la entidad para llevar a cabo los ejercicios de rendición de cuentas.</w:t>
            </w:r>
            <w:r w:rsidR="006C7AC0" w:rsidRPr="00771B7E">
              <w:rPr>
                <w:webHidden/>
              </w:rPr>
              <w:tab/>
            </w:r>
            <w:r w:rsidR="006C7AC0" w:rsidRPr="00771B7E">
              <w:rPr>
                <w:webHidden/>
              </w:rPr>
              <w:fldChar w:fldCharType="begin"/>
            </w:r>
            <w:r w:rsidR="006C7AC0" w:rsidRPr="00771B7E">
              <w:rPr>
                <w:webHidden/>
              </w:rPr>
              <w:instrText xml:space="preserve"> PAGEREF _Toc1986552 \h </w:instrText>
            </w:r>
            <w:r w:rsidR="006C7AC0" w:rsidRPr="00771B7E">
              <w:rPr>
                <w:webHidden/>
              </w:rPr>
            </w:r>
            <w:r w:rsidR="006C7AC0" w:rsidRPr="00771B7E">
              <w:rPr>
                <w:webHidden/>
              </w:rPr>
              <w:fldChar w:fldCharType="separate"/>
            </w:r>
            <w:r w:rsidR="00771B7E" w:rsidRPr="00771B7E">
              <w:rPr>
                <w:webHidden/>
              </w:rPr>
              <w:t>8</w:t>
            </w:r>
            <w:r w:rsidR="006C7AC0" w:rsidRPr="00771B7E">
              <w:rPr>
                <w:webHidden/>
              </w:rPr>
              <w:fldChar w:fldCharType="end"/>
            </w:r>
          </w:hyperlink>
        </w:p>
        <w:p w14:paraId="73B33EB4" w14:textId="77777777" w:rsidR="006C7AC0" w:rsidRPr="00771B7E" w:rsidRDefault="00FD3519">
          <w:pPr>
            <w:pStyle w:val="TDC1"/>
            <w:rPr>
              <w:rFonts w:eastAsiaTheme="minorEastAsia"/>
              <w:bCs w:val="0"/>
              <w:kern w:val="0"/>
              <w:lang w:eastAsia="es-CO"/>
            </w:rPr>
          </w:pPr>
          <w:hyperlink w:anchor="_Toc1986553" w:history="1">
            <w:r w:rsidR="006C7AC0" w:rsidRPr="00771B7E">
              <w:rPr>
                <w:rStyle w:val="Hipervnculo"/>
              </w:rPr>
              <w:t>2.</w:t>
            </w:r>
            <w:r w:rsidR="006C7AC0" w:rsidRPr="00771B7E">
              <w:rPr>
                <w:rFonts w:eastAsiaTheme="minorEastAsia"/>
                <w:bCs w:val="0"/>
                <w:kern w:val="0"/>
                <w:lang w:eastAsia="es-CO"/>
              </w:rPr>
              <w:tab/>
            </w:r>
            <w:r w:rsidR="006C7AC0" w:rsidRPr="00771B7E">
              <w:rPr>
                <w:rStyle w:val="Hipervnculo"/>
              </w:rPr>
              <w:t>ELEMENTOS DE LA RENDICIÓN DE CUENTAS</w:t>
            </w:r>
            <w:r w:rsidR="006C7AC0" w:rsidRPr="00771B7E">
              <w:rPr>
                <w:webHidden/>
              </w:rPr>
              <w:tab/>
            </w:r>
            <w:r w:rsidR="006C7AC0" w:rsidRPr="00771B7E">
              <w:rPr>
                <w:webHidden/>
              </w:rPr>
              <w:fldChar w:fldCharType="begin"/>
            </w:r>
            <w:r w:rsidR="006C7AC0" w:rsidRPr="00771B7E">
              <w:rPr>
                <w:webHidden/>
              </w:rPr>
              <w:instrText xml:space="preserve"> PAGEREF _Toc1986553 \h </w:instrText>
            </w:r>
            <w:r w:rsidR="006C7AC0" w:rsidRPr="00771B7E">
              <w:rPr>
                <w:webHidden/>
              </w:rPr>
            </w:r>
            <w:r w:rsidR="006C7AC0" w:rsidRPr="00771B7E">
              <w:rPr>
                <w:webHidden/>
              </w:rPr>
              <w:fldChar w:fldCharType="separate"/>
            </w:r>
            <w:r w:rsidR="00771B7E" w:rsidRPr="00771B7E">
              <w:rPr>
                <w:webHidden/>
              </w:rPr>
              <w:t>8</w:t>
            </w:r>
            <w:r w:rsidR="006C7AC0" w:rsidRPr="00771B7E">
              <w:rPr>
                <w:webHidden/>
              </w:rPr>
              <w:fldChar w:fldCharType="end"/>
            </w:r>
          </w:hyperlink>
        </w:p>
        <w:p w14:paraId="3E797554" w14:textId="77777777" w:rsidR="006C7AC0" w:rsidRPr="00771B7E" w:rsidRDefault="00FD3519">
          <w:pPr>
            <w:pStyle w:val="TDC2"/>
            <w:rPr>
              <w:rFonts w:eastAsiaTheme="minorEastAsia"/>
              <w:iCs w:val="0"/>
            </w:rPr>
          </w:pPr>
          <w:hyperlink w:anchor="_Toc1986554" w:history="1">
            <w:r w:rsidR="006C7AC0" w:rsidRPr="00771B7E">
              <w:rPr>
                <w:rStyle w:val="Hipervnculo"/>
                <w:rFonts w:eastAsia="Arial"/>
              </w:rPr>
              <w:t>2.1.</w:t>
            </w:r>
            <w:r w:rsidR="006C7AC0" w:rsidRPr="00771B7E">
              <w:rPr>
                <w:rFonts w:eastAsiaTheme="minorEastAsia"/>
                <w:iCs w:val="0"/>
              </w:rPr>
              <w:tab/>
            </w:r>
            <w:r w:rsidR="006C7AC0" w:rsidRPr="00771B7E">
              <w:rPr>
                <w:rStyle w:val="Hipervnculo"/>
                <w:rFonts w:eastAsia="Arial"/>
              </w:rPr>
              <w:t>Información de calidad y en lenguaje claro sobre los procesos y resultados de la gestión pública.</w:t>
            </w:r>
            <w:r w:rsidR="006C7AC0" w:rsidRPr="00771B7E">
              <w:rPr>
                <w:webHidden/>
              </w:rPr>
              <w:tab/>
            </w:r>
            <w:r w:rsidR="006C7AC0" w:rsidRPr="00771B7E">
              <w:rPr>
                <w:webHidden/>
              </w:rPr>
              <w:fldChar w:fldCharType="begin"/>
            </w:r>
            <w:r w:rsidR="006C7AC0" w:rsidRPr="00771B7E">
              <w:rPr>
                <w:webHidden/>
              </w:rPr>
              <w:instrText xml:space="preserve"> PAGEREF _Toc1986554 \h </w:instrText>
            </w:r>
            <w:r w:rsidR="006C7AC0" w:rsidRPr="00771B7E">
              <w:rPr>
                <w:webHidden/>
              </w:rPr>
            </w:r>
            <w:r w:rsidR="006C7AC0" w:rsidRPr="00771B7E">
              <w:rPr>
                <w:webHidden/>
              </w:rPr>
              <w:fldChar w:fldCharType="separate"/>
            </w:r>
            <w:r w:rsidR="00771B7E" w:rsidRPr="00771B7E">
              <w:rPr>
                <w:webHidden/>
              </w:rPr>
              <w:t>8</w:t>
            </w:r>
            <w:r w:rsidR="006C7AC0" w:rsidRPr="00771B7E">
              <w:rPr>
                <w:webHidden/>
              </w:rPr>
              <w:fldChar w:fldCharType="end"/>
            </w:r>
          </w:hyperlink>
        </w:p>
        <w:p w14:paraId="5496EDC2" w14:textId="77777777" w:rsidR="006C7AC0" w:rsidRPr="00771B7E" w:rsidRDefault="00FD3519">
          <w:pPr>
            <w:pStyle w:val="TDC2"/>
            <w:rPr>
              <w:rFonts w:eastAsiaTheme="minorEastAsia"/>
              <w:iCs w:val="0"/>
            </w:rPr>
          </w:pPr>
          <w:hyperlink w:anchor="_Toc1986555" w:history="1">
            <w:r w:rsidR="006C7AC0" w:rsidRPr="00771B7E">
              <w:rPr>
                <w:rStyle w:val="Hipervnculo"/>
                <w:rFonts w:eastAsia="Arial"/>
              </w:rPr>
              <w:t>2.2.</w:t>
            </w:r>
            <w:r w:rsidR="006C7AC0" w:rsidRPr="00771B7E">
              <w:rPr>
                <w:rFonts w:eastAsiaTheme="minorEastAsia"/>
                <w:iCs w:val="0"/>
              </w:rPr>
              <w:tab/>
            </w:r>
            <w:r w:rsidR="006C7AC0" w:rsidRPr="00771B7E">
              <w:rPr>
                <w:rStyle w:val="Hipervnculo"/>
                <w:rFonts w:eastAsia="Arial"/>
              </w:rPr>
              <w:t>Diálogo para explicar, escuchar y retroalimentar la gestión.</w:t>
            </w:r>
            <w:r w:rsidR="006C7AC0" w:rsidRPr="00771B7E">
              <w:rPr>
                <w:webHidden/>
              </w:rPr>
              <w:tab/>
            </w:r>
            <w:r w:rsidR="006C7AC0" w:rsidRPr="00771B7E">
              <w:rPr>
                <w:webHidden/>
              </w:rPr>
              <w:fldChar w:fldCharType="begin"/>
            </w:r>
            <w:r w:rsidR="006C7AC0" w:rsidRPr="00771B7E">
              <w:rPr>
                <w:webHidden/>
              </w:rPr>
              <w:instrText xml:space="preserve"> PAGEREF _Toc1986555 \h </w:instrText>
            </w:r>
            <w:r w:rsidR="006C7AC0" w:rsidRPr="00771B7E">
              <w:rPr>
                <w:webHidden/>
              </w:rPr>
            </w:r>
            <w:r w:rsidR="006C7AC0" w:rsidRPr="00771B7E">
              <w:rPr>
                <w:webHidden/>
              </w:rPr>
              <w:fldChar w:fldCharType="separate"/>
            </w:r>
            <w:r w:rsidR="00771B7E" w:rsidRPr="00771B7E">
              <w:rPr>
                <w:webHidden/>
              </w:rPr>
              <w:t>8</w:t>
            </w:r>
            <w:r w:rsidR="006C7AC0" w:rsidRPr="00771B7E">
              <w:rPr>
                <w:webHidden/>
              </w:rPr>
              <w:fldChar w:fldCharType="end"/>
            </w:r>
          </w:hyperlink>
        </w:p>
        <w:p w14:paraId="3D2C07F0" w14:textId="77777777" w:rsidR="006C7AC0" w:rsidRPr="00771B7E" w:rsidRDefault="00FD3519">
          <w:pPr>
            <w:pStyle w:val="TDC2"/>
            <w:rPr>
              <w:rFonts w:eastAsiaTheme="minorEastAsia"/>
              <w:iCs w:val="0"/>
            </w:rPr>
          </w:pPr>
          <w:hyperlink w:anchor="_Toc1986556" w:history="1">
            <w:r w:rsidR="006C7AC0" w:rsidRPr="00771B7E">
              <w:rPr>
                <w:rStyle w:val="Hipervnculo"/>
                <w:rFonts w:eastAsia="Arial"/>
              </w:rPr>
              <w:t>2.3.</w:t>
            </w:r>
            <w:r w:rsidR="006C7AC0" w:rsidRPr="00771B7E">
              <w:rPr>
                <w:rFonts w:eastAsiaTheme="minorEastAsia"/>
                <w:iCs w:val="0"/>
              </w:rPr>
              <w:tab/>
            </w:r>
            <w:r w:rsidR="006C7AC0" w:rsidRPr="00771B7E">
              <w:rPr>
                <w:rStyle w:val="Hipervnculo"/>
                <w:rFonts w:eastAsia="Arial"/>
              </w:rPr>
              <w:t>Incentivos a los servidores públicos y a los ciudadanos.</w:t>
            </w:r>
            <w:r w:rsidR="006C7AC0" w:rsidRPr="00771B7E">
              <w:rPr>
                <w:webHidden/>
              </w:rPr>
              <w:tab/>
            </w:r>
            <w:r w:rsidR="006C7AC0" w:rsidRPr="00771B7E">
              <w:rPr>
                <w:webHidden/>
              </w:rPr>
              <w:fldChar w:fldCharType="begin"/>
            </w:r>
            <w:r w:rsidR="006C7AC0" w:rsidRPr="00771B7E">
              <w:rPr>
                <w:webHidden/>
              </w:rPr>
              <w:instrText xml:space="preserve"> PAGEREF _Toc1986556 \h </w:instrText>
            </w:r>
            <w:r w:rsidR="006C7AC0" w:rsidRPr="00771B7E">
              <w:rPr>
                <w:webHidden/>
              </w:rPr>
            </w:r>
            <w:r w:rsidR="006C7AC0" w:rsidRPr="00771B7E">
              <w:rPr>
                <w:webHidden/>
              </w:rPr>
              <w:fldChar w:fldCharType="separate"/>
            </w:r>
            <w:r w:rsidR="00771B7E" w:rsidRPr="00771B7E">
              <w:rPr>
                <w:webHidden/>
              </w:rPr>
              <w:t>8</w:t>
            </w:r>
            <w:r w:rsidR="006C7AC0" w:rsidRPr="00771B7E">
              <w:rPr>
                <w:webHidden/>
              </w:rPr>
              <w:fldChar w:fldCharType="end"/>
            </w:r>
          </w:hyperlink>
        </w:p>
        <w:p w14:paraId="5D396192" w14:textId="77777777" w:rsidR="006C7AC0" w:rsidRPr="00771B7E" w:rsidRDefault="00FD3519">
          <w:pPr>
            <w:pStyle w:val="TDC1"/>
            <w:rPr>
              <w:rFonts w:eastAsiaTheme="minorEastAsia"/>
              <w:bCs w:val="0"/>
              <w:kern w:val="0"/>
              <w:lang w:eastAsia="es-CO"/>
            </w:rPr>
          </w:pPr>
          <w:hyperlink w:anchor="_Toc1986557" w:history="1">
            <w:r w:rsidR="006C7AC0" w:rsidRPr="00771B7E">
              <w:rPr>
                <w:rStyle w:val="Hipervnculo"/>
              </w:rPr>
              <w:t>3.</w:t>
            </w:r>
            <w:r w:rsidR="006C7AC0" w:rsidRPr="00771B7E">
              <w:rPr>
                <w:rFonts w:eastAsiaTheme="minorEastAsia"/>
                <w:bCs w:val="0"/>
                <w:kern w:val="0"/>
                <w:lang w:eastAsia="es-CO"/>
              </w:rPr>
              <w:tab/>
            </w:r>
            <w:r w:rsidR="006C7AC0" w:rsidRPr="00771B7E">
              <w:rPr>
                <w:rStyle w:val="Hipervnculo"/>
              </w:rPr>
              <w:t>RUTA METODOLÓGICA PARA LA RENDICIÓN DE CUENTAS</w:t>
            </w:r>
            <w:r w:rsidR="006C7AC0" w:rsidRPr="00771B7E">
              <w:rPr>
                <w:webHidden/>
              </w:rPr>
              <w:tab/>
            </w:r>
            <w:r w:rsidR="006C7AC0" w:rsidRPr="00771B7E">
              <w:rPr>
                <w:webHidden/>
              </w:rPr>
              <w:fldChar w:fldCharType="begin"/>
            </w:r>
            <w:r w:rsidR="006C7AC0" w:rsidRPr="00771B7E">
              <w:rPr>
                <w:webHidden/>
              </w:rPr>
              <w:instrText xml:space="preserve"> PAGEREF _Toc1986557 \h </w:instrText>
            </w:r>
            <w:r w:rsidR="006C7AC0" w:rsidRPr="00771B7E">
              <w:rPr>
                <w:webHidden/>
              </w:rPr>
            </w:r>
            <w:r w:rsidR="006C7AC0" w:rsidRPr="00771B7E">
              <w:rPr>
                <w:webHidden/>
              </w:rPr>
              <w:fldChar w:fldCharType="separate"/>
            </w:r>
            <w:r w:rsidR="00771B7E" w:rsidRPr="00771B7E">
              <w:rPr>
                <w:webHidden/>
              </w:rPr>
              <w:t>9</w:t>
            </w:r>
            <w:r w:rsidR="006C7AC0" w:rsidRPr="00771B7E">
              <w:rPr>
                <w:webHidden/>
              </w:rPr>
              <w:fldChar w:fldCharType="end"/>
            </w:r>
          </w:hyperlink>
        </w:p>
        <w:p w14:paraId="7D6100A4" w14:textId="77777777" w:rsidR="006C7AC0" w:rsidRPr="00771B7E" w:rsidRDefault="00FD3519">
          <w:pPr>
            <w:pStyle w:val="TDC2"/>
            <w:rPr>
              <w:rFonts w:eastAsiaTheme="minorEastAsia"/>
              <w:iCs w:val="0"/>
            </w:rPr>
          </w:pPr>
          <w:hyperlink w:anchor="_Toc1986558" w:history="1">
            <w:r w:rsidR="006C7AC0" w:rsidRPr="00771B7E">
              <w:rPr>
                <w:rStyle w:val="Hipervnculo"/>
                <w:rFonts w:eastAsia="Arial"/>
              </w:rPr>
              <w:t>3.1.</w:t>
            </w:r>
            <w:r w:rsidR="006C7AC0" w:rsidRPr="00771B7E">
              <w:rPr>
                <w:rFonts w:eastAsiaTheme="minorEastAsia"/>
                <w:iCs w:val="0"/>
              </w:rPr>
              <w:tab/>
            </w:r>
            <w:r w:rsidR="006C7AC0" w:rsidRPr="00771B7E">
              <w:rPr>
                <w:rStyle w:val="Hipervnculo"/>
                <w:rFonts w:eastAsia="Arial"/>
              </w:rPr>
              <w:t>Alistamiento</w:t>
            </w:r>
            <w:r w:rsidR="006C7AC0" w:rsidRPr="00771B7E">
              <w:rPr>
                <w:webHidden/>
              </w:rPr>
              <w:tab/>
            </w:r>
            <w:r w:rsidR="006C7AC0" w:rsidRPr="00771B7E">
              <w:rPr>
                <w:webHidden/>
              </w:rPr>
              <w:fldChar w:fldCharType="begin"/>
            </w:r>
            <w:r w:rsidR="006C7AC0" w:rsidRPr="00771B7E">
              <w:rPr>
                <w:webHidden/>
              </w:rPr>
              <w:instrText xml:space="preserve"> PAGEREF _Toc1986558 \h </w:instrText>
            </w:r>
            <w:r w:rsidR="006C7AC0" w:rsidRPr="00771B7E">
              <w:rPr>
                <w:webHidden/>
              </w:rPr>
            </w:r>
            <w:r w:rsidR="006C7AC0" w:rsidRPr="00771B7E">
              <w:rPr>
                <w:webHidden/>
              </w:rPr>
              <w:fldChar w:fldCharType="separate"/>
            </w:r>
            <w:r w:rsidR="00771B7E" w:rsidRPr="00771B7E">
              <w:rPr>
                <w:webHidden/>
              </w:rPr>
              <w:t>9</w:t>
            </w:r>
            <w:r w:rsidR="006C7AC0" w:rsidRPr="00771B7E">
              <w:rPr>
                <w:webHidden/>
              </w:rPr>
              <w:fldChar w:fldCharType="end"/>
            </w:r>
          </w:hyperlink>
        </w:p>
        <w:p w14:paraId="0D629548" w14:textId="77777777" w:rsidR="006C7AC0" w:rsidRPr="00771B7E" w:rsidRDefault="00FD3519">
          <w:pPr>
            <w:pStyle w:val="TDC2"/>
            <w:rPr>
              <w:rFonts w:eastAsiaTheme="minorEastAsia"/>
              <w:iCs w:val="0"/>
            </w:rPr>
          </w:pPr>
          <w:hyperlink w:anchor="_Toc1986559" w:history="1">
            <w:r w:rsidR="006C7AC0" w:rsidRPr="00771B7E">
              <w:rPr>
                <w:rStyle w:val="Hipervnculo"/>
                <w:rFonts w:eastAsia="Arial"/>
              </w:rPr>
              <w:t>3.2.</w:t>
            </w:r>
            <w:r w:rsidR="006C7AC0" w:rsidRPr="00771B7E">
              <w:rPr>
                <w:rFonts w:eastAsiaTheme="minorEastAsia"/>
                <w:iCs w:val="0"/>
              </w:rPr>
              <w:tab/>
            </w:r>
            <w:r w:rsidR="006C7AC0" w:rsidRPr="00771B7E">
              <w:rPr>
                <w:rStyle w:val="Hipervnculo"/>
                <w:rFonts w:eastAsia="Arial"/>
              </w:rPr>
              <w:t>Capacitación</w:t>
            </w:r>
            <w:r w:rsidR="006C7AC0" w:rsidRPr="00771B7E">
              <w:rPr>
                <w:webHidden/>
              </w:rPr>
              <w:tab/>
            </w:r>
            <w:r w:rsidR="006C7AC0" w:rsidRPr="00771B7E">
              <w:rPr>
                <w:webHidden/>
              </w:rPr>
              <w:fldChar w:fldCharType="begin"/>
            </w:r>
            <w:r w:rsidR="006C7AC0" w:rsidRPr="00771B7E">
              <w:rPr>
                <w:webHidden/>
              </w:rPr>
              <w:instrText xml:space="preserve"> PAGEREF _Toc1986559 \h </w:instrText>
            </w:r>
            <w:r w:rsidR="006C7AC0" w:rsidRPr="00771B7E">
              <w:rPr>
                <w:webHidden/>
              </w:rPr>
            </w:r>
            <w:r w:rsidR="006C7AC0" w:rsidRPr="00771B7E">
              <w:rPr>
                <w:webHidden/>
              </w:rPr>
              <w:fldChar w:fldCharType="separate"/>
            </w:r>
            <w:r w:rsidR="00771B7E" w:rsidRPr="00771B7E">
              <w:rPr>
                <w:webHidden/>
              </w:rPr>
              <w:t>10</w:t>
            </w:r>
            <w:r w:rsidR="006C7AC0" w:rsidRPr="00771B7E">
              <w:rPr>
                <w:webHidden/>
              </w:rPr>
              <w:fldChar w:fldCharType="end"/>
            </w:r>
          </w:hyperlink>
        </w:p>
        <w:p w14:paraId="1A05AED2" w14:textId="77777777" w:rsidR="006C7AC0" w:rsidRPr="00771B7E" w:rsidRDefault="00FD3519">
          <w:pPr>
            <w:pStyle w:val="TDC2"/>
            <w:rPr>
              <w:rFonts w:eastAsiaTheme="minorEastAsia"/>
              <w:iCs w:val="0"/>
            </w:rPr>
          </w:pPr>
          <w:hyperlink w:anchor="_Toc1986560" w:history="1">
            <w:r w:rsidR="006C7AC0" w:rsidRPr="00771B7E">
              <w:rPr>
                <w:rStyle w:val="Hipervnculo"/>
                <w:rFonts w:eastAsia="Arial"/>
              </w:rPr>
              <w:t>3.3</w:t>
            </w:r>
            <w:r w:rsidR="006C7AC0" w:rsidRPr="00771B7E">
              <w:rPr>
                <w:rFonts w:eastAsiaTheme="minorEastAsia"/>
                <w:iCs w:val="0"/>
              </w:rPr>
              <w:tab/>
            </w:r>
            <w:r w:rsidR="006C7AC0" w:rsidRPr="00771B7E">
              <w:rPr>
                <w:rStyle w:val="Hipervnculo"/>
                <w:rFonts w:eastAsia="Arial"/>
              </w:rPr>
              <w:t>Publicación de la información</w:t>
            </w:r>
            <w:r w:rsidR="006C7AC0" w:rsidRPr="00771B7E">
              <w:rPr>
                <w:webHidden/>
              </w:rPr>
              <w:tab/>
            </w:r>
            <w:r w:rsidR="006C7AC0" w:rsidRPr="00771B7E">
              <w:rPr>
                <w:webHidden/>
              </w:rPr>
              <w:fldChar w:fldCharType="begin"/>
            </w:r>
            <w:r w:rsidR="006C7AC0" w:rsidRPr="00771B7E">
              <w:rPr>
                <w:webHidden/>
              </w:rPr>
              <w:instrText xml:space="preserve"> PAGEREF _Toc1986560 \h </w:instrText>
            </w:r>
            <w:r w:rsidR="006C7AC0" w:rsidRPr="00771B7E">
              <w:rPr>
                <w:webHidden/>
              </w:rPr>
            </w:r>
            <w:r w:rsidR="006C7AC0" w:rsidRPr="00771B7E">
              <w:rPr>
                <w:webHidden/>
              </w:rPr>
              <w:fldChar w:fldCharType="separate"/>
            </w:r>
            <w:r w:rsidR="00771B7E" w:rsidRPr="00771B7E">
              <w:rPr>
                <w:webHidden/>
              </w:rPr>
              <w:t>11</w:t>
            </w:r>
            <w:r w:rsidR="006C7AC0" w:rsidRPr="00771B7E">
              <w:rPr>
                <w:webHidden/>
              </w:rPr>
              <w:fldChar w:fldCharType="end"/>
            </w:r>
          </w:hyperlink>
        </w:p>
        <w:p w14:paraId="67106296" w14:textId="77777777" w:rsidR="006C7AC0" w:rsidRPr="00771B7E" w:rsidRDefault="00FD3519">
          <w:pPr>
            <w:pStyle w:val="TDC2"/>
            <w:rPr>
              <w:rFonts w:eastAsiaTheme="minorEastAsia"/>
              <w:iCs w:val="0"/>
            </w:rPr>
          </w:pPr>
          <w:hyperlink w:anchor="_Toc1986561" w:history="1">
            <w:r w:rsidR="006C7AC0" w:rsidRPr="00771B7E">
              <w:rPr>
                <w:rStyle w:val="Hipervnculo"/>
                <w:rFonts w:eastAsia="Arial"/>
              </w:rPr>
              <w:t>3.4 Diálogos ciudadanos</w:t>
            </w:r>
            <w:r w:rsidR="006C7AC0" w:rsidRPr="00771B7E">
              <w:rPr>
                <w:webHidden/>
              </w:rPr>
              <w:tab/>
            </w:r>
            <w:r w:rsidR="006C7AC0" w:rsidRPr="00771B7E">
              <w:rPr>
                <w:webHidden/>
              </w:rPr>
              <w:fldChar w:fldCharType="begin"/>
            </w:r>
            <w:r w:rsidR="006C7AC0" w:rsidRPr="00771B7E">
              <w:rPr>
                <w:webHidden/>
              </w:rPr>
              <w:instrText xml:space="preserve"> PAGEREF _Toc1986561 \h </w:instrText>
            </w:r>
            <w:r w:rsidR="006C7AC0" w:rsidRPr="00771B7E">
              <w:rPr>
                <w:webHidden/>
              </w:rPr>
            </w:r>
            <w:r w:rsidR="006C7AC0" w:rsidRPr="00771B7E">
              <w:rPr>
                <w:webHidden/>
              </w:rPr>
              <w:fldChar w:fldCharType="separate"/>
            </w:r>
            <w:r w:rsidR="00771B7E" w:rsidRPr="00771B7E">
              <w:rPr>
                <w:webHidden/>
              </w:rPr>
              <w:t>12</w:t>
            </w:r>
            <w:r w:rsidR="006C7AC0" w:rsidRPr="00771B7E">
              <w:rPr>
                <w:webHidden/>
              </w:rPr>
              <w:fldChar w:fldCharType="end"/>
            </w:r>
          </w:hyperlink>
        </w:p>
        <w:p w14:paraId="7AA30C73" w14:textId="77777777" w:rsidR="006C7AC0" w:rsidRPr="00771B7E" w:rsidRDefault="00FD3519">
          <w:pPr>
            <w:pStyle w:val="TDC2"/>
            <w:rPr>
              <w:rFonts w:eastAsiaTheme="minorEastAsia"/>
              <w:iCs w:val="0"/>
            </w:rPr>
          </w:pPr>
          <w:hyperlink w:anchor="_Toc1986562" w:history="1">
            <w:r w:rsidR="006C7AC0" w:rsidRPr="00771B7E">
              <w:rPr>
                <w:rStyle w:val="Hipervnculo"/>
                <w:rFonts w:eastAsia="Arial"/>
              </w:rPr>
              <w:t>3.5    Audiencia pública</w:t>
            </w:r>
            <w:r w:rsidR="006C7AC0" w:rsidRPr="00771B7E">
              <w:rPr>
                <w:webHidden/>
              </w:rPr>
              <w:tab/>
            </w:r>
            <w:r w:rsidR="006C7AC0" w:rsidRPr="00771B7E">
              <w:rPr>
                <w:webHidden/>
              </w:rPr>
              <w:fldChar w:fldCharType="begin"/>
            </w:r>
            <w:r w:rsidR="006C7AC0" w:rsidRPr="00771B7E">
              <w:rPr>
                <w:webHidden/>
              </w:rPr>
              <w:instrText xml:space="preserve"> PAGEREF _Toc1986562 \h </w:instrText>
            </w:r>
            <w:r w:rsidR="006C7AC0" w:rsidRPr="00771B7E">
              <w:rPr>
                <w:webHidden/>
              </w:rPr>
            </w:r>
            <w:r w:rsidR="006C7AC0" w:rsidRPr="00771B7E">
              <w:rPr>
                <w:webHidden/>
              </w:rPr>
              <w:fldChar w:fldCharType="separate"/>
            </w:r>
            <w:r w:rsidR="00771B7E" w:rsidRPr="00771B7E">
              <w:rPr>
                <w:webHidden/>
              </w:rPr>
              <w:t>13</w:t>
            </w:r>
            <w:r w:rsidR="006C7AC0" w:rsidRPr="00771B7E">
              <w:rPr>
                <w:webHidden/>
              </w:rPr>
              <w:fldChar w:fldCharType="end"/>
            </w:r>
          </w:hyperlink>
        </w:p>
        <w:p w14:paraId="5C21908F" w14:textId="77777777" w:rsidR="006C7AC0" w:rsidRPr="00771B7E" w:rsidRDefault="00FD3519">
          <w:pPr>
            <w:pStyle w:val="TDC2"/>
            <w:rPr>
              <w:rFonts w:eastAsiaTheme="minorEastAsia"/>
              <w:iCs w:val="0"/>
            </w:rPr>
          </w:pPr>
          <w:hyperlink w:anchor="_Toc1986563" w:history="1">
            <w:r w:rsidR="006C7AC0" w:rsidRPr="00771B7E">
              <w:rPr>
                <w:rStyle w:val="Hipervnculo"/>
                <w:rFonts w:eastAsia="Arial"/>
              </w:rPr>
              <w:t>3.6</w:t>
            </w:r>
            <w:r w:rsidR="006C7AC0" w:rsidRPr="00771B7E">
              <w:rPr>
                <w:rFonts w:eastAsiaTheme="minorEastAsia"/>
                <w:iCs w:val="0"/>
              </w:rPr>
              <w:tab/>
            </w:r>
            <w:r w:rsidR="006C7AC0" w:rsidRPr="00771B7E">
              <w:rPr>
                <w:rStyle w:val="Hipervnculo"/>
                <w:rFonts w:eastAsia="Arial"/>
              </w:rPr>
              <w:t>Seguimiento.</w:t>
            </w:r>
            <w:r w:rsidR="006C7AC0" w:rsidRPr="00771B7E">
              <w:rPr>
                <w:webHidden/>
              </w:rPr>
              <w:tab/>
            </w:r>
            <w:r w:rsidR="006C7AC0" w:rsidRPr="00771B7E">
              <w:rPr>
                <w:webHidden/>
              </w:rPr>
              <w:fldChar w:fldCharType="begin"/>
            </w:r>
            <w:r w:rsidR="006C7AC0" w:rsidRPr="00771B7E">
              <w:rPr>
                <w:webHidden/>
              </w:rPr>
              <w:instrText xml:space="preserve"> PAGEREF _Toc1986563 \h </w:instrText>
            </w:r>
            <w:r w:rsidR="006C7AC0" w:rsidRPr="00771B7E">
              <w:rPr>
                <w:webHidden/>
              </w:rPr>
            </w:r>
            <w:r w:rsidR="006C7AC0" w:rsidRPr="00771B7E">
              <w:rPr>
                <w:webHidden/>
              </w:rPr>
              <w:fldChar w:fldCharType="separate"/>
            </w:r>
            <w:r w:rsidR="00771B7E" w:rsidRPr="00771B7E">
              <w:rPr>
                <w:webHidden/>
              </w:rPr>
              <w:t>14</w:t>
            </w:r>
            <w:r w:rsidR="006C7AC0" w:rsidRPr="00771B7E">
              <w:rPr>
                <w:webHidden/>
              </w:rPr>
              <w:fldChar w:fldCharType="end"/>
            </w:r>
          </w:hyperlink>
        </w:p>
        <w:p w14:paraId="0EB3B6A9" w14:textId="77777777" w:rsidR="006C7AC0" w:rsidRPr="00771B7E" w:rsidRDefault="00FD3519">
          <w:pPr>
            <w:pStyle w:val="TDC1"/>
            <w:rPr>
              <w:rFonts w:eastAsiaTheme="minorEastAsia"/>
              <w:bCs w:val="0"/>
              <w:kern w:val="0"/>
              <w:lang w:eastAsia="es-CO"/>
            </w:rPr>
          </w:pPr>
          <w:hyperlink w:anchor="_Toc1986564" w:history="1">
            <w:r w:rsidR="006C7AC0" w:rsidRPr="00771B7E">
              <w:rPr>
                <w:rStyle w:val="Hipervnculo"/>
              </w:rPr>
              <w:t>4</w:t>
            </w:r>
            <w:r w:rsidR="006C7AC0" w:rsidRPr="00771B7E">
              <w:rPr>
                <w:rFonts w:eastAsiaTheme="minorEastAsia"/>
                <w:bCs w:val="0"/>
                <w:kern w:val="0"/>
                <w:lang w:eastAsia="es-CO"/>
              </w:rPr>
              <w:tab/>
            </w:r>
            <w:r w:rsidR="006C7AC0" w:rsidRPr="00771B7E">
              <w:rPr>
                <w:rStyle w:val="Hipervnculo"/>
              </w:rPr>
              <w:t>NORMATIVIDAD</w:t>
            </w:r>
            <w:r w:rsidR="006C7AC0" w:rsidRPr="00771B7E">
              <w:rPr>
                <w:webHidden/>
              </w:rPr>
              <w:tab/>
            </w:r>
            <w:r w:rsidR="006C7AC0" w:rsidRPr="00771B7E">
              <w:rPr>
                <w:webHidden/>
              </w:rPr>
              <w:fldChar w:fldCharType="begin"/>
            </w:r>
            <w:r w:rsidR="006C7AC0" w:rsidRPr="00771B7E">
              <w:rPr>
                <w:webHidden/>
              </w:rPr>
              <w:instrText xml:space="preserve"> PAGEREF _Toc1986564 \h </w:instrText>
            </w:r>
            <w:r w:rsidR="006C7AC0" w:rsidRPr="00771B7E">
              <w:rPr>
                <w:webHidden/>
              </w:rPr>
            </w:r>
            <w:r w:rsidR="006C7AC0" w:rsidRPr="00771B7E">
              <w:rPr>
                <w:webHidden/>
              </w:rPr>
              <w:fldChar w:fldCharType="separate"/>
            </w:r>
            <w:r w:rsidR="00771B7E" w:rsidRPr="00771B7E">
              <w:rPr>
                <w:webHidden/>
              </w:rPr>
              <w:t>14</w:t>
            </w:r>
            <w:r w:rsidR="006C7AC0" w:rsidRPr="00771B7E">
              <w:rPr>
                <w:webHidden/>
              </w:rPr>
              <w:fldChar w:fldCharType="end"/>
            </w:r>
          </w:hyperlink>
        </w:p>
        <w:p w14:paraId="263122DB" w14:textId="77777777" w:rsidR="00B37228" w:rsidRPr="00771B7E" w:rsidRDefault="00F6298D" w:rsidP="000E1781">
          <w:pPr>
            <w:rPr>
              <w:rFonts w:ascii="Arial" w:hAnsi="Arial" w:cs="Arial"/>
              <w:sz w:val="22"/>
              <w:szCs w:val="22"/>
            </w:rPr>
          </w:pPr>
          <w:r w:rsidRPr="00771B7E">
            <w:rPr>
              <w:rFonts w:ascii="Arial" w:hAnsi="Arial" w:cs="Arial"/>
              <w:b/>
              <w:bCs/>
              <w:noProof/>
              <w:sz w:val="22"/>
              <w:szCs w:val="22"/>
            </w:rPr>
            <w:fldChar w:fldCharType="end"/>
          </w:r>
        </w:p>
      </w:sdtContent>
    </w:sdt>
    <w:p w14:paraId="461301A7" w14:textId="77777777" w:rsidR="00B37228" w:rsidRPr="00771B7E" w:rsidRDefault="00B37228" w:rsidP="000E1781">
      <w:pPr>
        <w:jc w:val="center"/>
        <w:rPr>
          <w:rFonts w:ascii="Arial" w:hAnsi="Arial" w:cs="Arial"/>
          <w:sz w:val="22"/>
          <w:szCs w:val="22"/>
        </w:rPr>
      </w:pPr>
    </w:p>
    <w:p w14:paraId="62333231" w14:textId="77777777" w:rsidR="00B37228" w:rsidRPr="00771B7E" w:rsidRDefault="00B37228">
      <w:pPr>
        <w:jc w:val="center"/>
        <w:rPr>
          <w:rFonts w:ascii="Arial" w:hAnsi="Arial" w:cs="Arial"/>
          <w:sz w:val="22"/>
          <w:szCs w:val="22"/>
        </w:rPr>
      </w:pPr>
    </w:p>
    <w:p w14:paraId="6119696D" w14:textId="77777777" w:rsidR="00B37228" w:rsidRPr="00771B7E" w:rsidRDefault="00B37228">
      <w:pPr>
        <w:jc w:val="center"/>
        <w:rPr>
          <w:rFonts w:ascii="Arial" w:hAnsi="Arial" w:cs="Arial"/>
          <w:sz w:val="22"/>
          <w:szCs w:val="22"/>
        </w:rPr>
      </w:pPr>
    </w:p>
    <w:p w14:paraId="26EE5C75" w14:textId="77777777" w:rsidR="006400F1" w:rsidRPr="00771B7E" w:rsidRDefault="006400F1">
      <w:pPr>
        <w:jc w:val="center"/>
        <w:rPr>
          <w:rFonts w:ascii="Arial" w:hAnsi="Arial" w:cs="Arial"/>
          <w:sz w:val="22"/>
          <w:szCs w:val="22"/>
        </w:rPr>
      </w:pPr>
    </w:p>
    <w:p w14:paraId="215DB086" w14:textId="77777777" w:rsidR="006400F1" w:rsidRPr="00771B7E" w:rsidRDefault="006400F1">
      <w:pPr>
        <w:jc w:val="center"/>
        <w:rPr>
          <w:rFonts w:ascii="Arial" w:hAnsi="Arial" w:cs="Arial"/>
          <w:sz w:val="22"/>
          <w:szCs w:val="22"/>
        </w:rPr>
      </w:pPr>
    </w:p>
    <w:p w14:paraId="2249CB1D" w14:textId="77777777" w:rsidR="006400F1" w:rsidRPr="00771B7E" w:rsidRDefault="006400F1">
      <w:pPr>
        <w:jc w:val="center"/>
        <w:rPr>
          <w:rFonts w:ascii="Arial" w:hAnsi="Arial" w:cs="Arial"/>
          <w:sz w:val="22"/>
          <w:szCs w:val="22"/>
        </w:rPr>
      </w:pPr>
    </w:p>
    <w:p w14:paraId="0401E77D" w14:textId="77777777" w:rsidR="006400F1" w:rsidRPr="00771B7E" w:rsidRDefault="006400F1">
      <w:pPr>
        <w:jc w:val="center"/>
        <w:rPr>
          <w:rFonts w:ascii="Arial" w:hAnsi="Arial" w:cs="Arial"/>
          <w:sz w:val="22"/>
          <w:szCs w:val="22"/>
        </w:rPr>
      </w:pPr>
    </w:p>
    <w:p w14:paraId="581A529E" w14:textId="77777777" w:rsidR="006400F1" w:rsidRPr="00771B7E" w:rsidRDefault="006400F1">
      <w:pPr>
        <w:jc w:val="center"/>
        <w:rPr>
          <w:rFonts w:ascii="Arial" w:hAnsi="Arial" w:cs="Arial"/>
          <w:sz w:val="22"/>
          <w:szCs w:val="22"/>
        </w:rPr>
      </w:pPr>
    </w:p>
    <w:p w14:paraId="04E057AF" w14:textId="77777777" w:rsidR="0060157C" w:rsidRPr="00771B7E" w:rsidRDefault="0060157C">
      <w:pPr>
        <w:jc w:val="center"/>
        <w:rPr>
          <w:rFonts w:ascii="Arial" w:hAnsi="Arial" w:cs="Arial"/>
          <w:sz w:val="22"/>
          <w:szCs w:val="22"/>
        </w:rPr>
      </w:pPr>
    </w:p>
    <w:p w14:paraId="5856A52D" w14:textId="77777777" w:rsidR="001A6FB1" w:rsidRDefault="001A6FB1">
      <w:pPr>
        <w:jc w:val="center"/>
        <w:rPr>
          <w:rFonts w:ascii="Arial" w:hAnsi="Arial" w:cs="Arial"/>
          <w:sz w:val="22"/>
          <w:szCs w:val="22"/>
        </w:rPr>
      </w:pPr>
    </w:p>
    <w:p w14:paraId="121845F6" w14:textId="77777777" w:rsidR="00771B7E" w:rsidRDefault="00771B7E">
      <w:pPr>
        <w:jc w:val="center"/>
        <w:rPr>
          <w:rFonts w:ascii="Arial" w:hAnsi="Arial" w:cs="Arial"/>
          <w:sz w:val="22"/>
          <w:szCs w:val="22"/>
        </w:rPr>
      </w:pPr>
    </w:p>
    <w:p w14:paraId="4840A12B" w14:textId="77777777" w:rsidR="00771B7E" w:rsidRPr="00771B7E" w:rsidRDefault="00771B7E">
      <w:pPr>
        <w:jc w:val="center"/>
        <w:rPr>
          <w:rFonts w:ascii="Arial" w:hAnsi="Arial" w:cs="Arial"/>
          <w:sz w:val="22"/>
          <w:szCs w:val="22"/>
        </w:rPr>
      </w:pPr>
    </w:p>
    <w:p w14:paraId="144E863C" w14:textId="77777777" w:rsidR="00B37228" w:rsidRPr="00771B7E" w:rsidRDefault="00B37228">
      <w:pPr>
        <w:jc w:val="center"/>
        <w:rPr>
          <w:rFonts w:ascii="Arial" w:hAnsi="Arial" w:cs="Arial"/>
          <w:sz w:val="22"/>
          <w:szCs w:val="22"/>
        </w:rPr>
      </w:pPr>
    </w:p>
    <w:p w14:paraId="2380706F" w14:textId="77777777" w:rsidR="00B37228" w:rsidRPr="00771B7E" w:rsidRDefault="00B37228">
      <w:pPr>
        <w:pStyle w:val="Ttulo1"/>
        <w:spacing w:line="240" w:lineRule="auto"/>
        <w:jc w:val="left"/>
        <w:rPr>
          <w:sz w:val="22"/>
          <w:szCs w:val="22"/>
        </w:rPr>
      </w:pPr>
      <w:bookmarkStart w:id="1" w:name="_Toc1986548"/>
      <w:r w:rsidRPr="00771B7E">
        <w:rPr>
          <w:sz w:val="22"/>
          <w:szCs w:val="22"/>
        </w:rPr>
        <w:lastRenderedPageBreak/>
        <w:t>INTRODUCCIÓN</w:t>
      </w:r>
      <w:bookmarkEnd w:id="1"/>
    </w:p>
    <w:p w14:paraId="1166147D" w14:textId="77777777" w:rsidR="0060157C" w:rsidRPr="00771B7E" w:rsidRDefault="0060157C">
      <w:pPr>
        <w:pStyle w:val="Normal1"/>
      </w:pPr>
    </w:p>
    <w:p w14:paraId="142CC1CD" w14:textId="3AC07AC9" w:rsidR="0060157C" w:rsidRPr="00771B7E" w:rsidRDefault="0060157C">
      <w:pPr>
        <w:jc w:val="both"/>
        <w:rPr>
          <w:rFonts w:ascii="Arial" w:hAnsi="Arial" w:cs="Arial"/>
          <w:sz w:val="22"/>
          <w:szCs w:val="22"/>
        </w:rPr>
      </w:pPr>
      <w:r w:rsidRPr="00771B7E">
        <w:rPr>
          <w:rFonts w:ascii="Arial" w:hAnsi="Arial" w:cs="Arial"/>
          <w:sz w:val="22"/>
          <w:szCs w:val="22"/>
        </w:rPr>
        <w:t>El Instituto para la Investigación Educativa y el Desarrollo Pedagógico - IDEP está comprometido con el proceso de rendición de cuentas</w:t>
      </w:r>
      <w:r w:rsidR="009E6C59" w:rsidRPr="00771B7E">
        <w:rPr>
          <w:rFonts w:ascii="Arial" w:hAnsi="Arial" w:cs="Arial"/>
          <w:sz w:val="22"/>
          <w:szCs w:val="22"/>
        </w:rPr>
        <w:t>,</w:t>
      </w:r>
      <w:r w:rsidRPr="00771B7E">
        <w:rPr>
          <w:rFonts w:ascii="Arial" w:hAnsi="Arial" w:cs="Arial"/>
          <w:sz w:val="22"/>
          <w:szCs w:val="22"/>
        </w:rPr>
        <w:t xml:space="preserve"> al ser consiente de los beneficios y oportunidades de mejora en la gestión que esta puede aportar al interior de la entidad para hacerla más transparente. Este proceso busca fortalecer las relaciones con los ciudadanos y partes interesadas con la implementación de estrategias participativas  que permitan acercarse a la gestión institucional y misional de la entidad, logrando </w:t>
      </w:r>
      <w:r w:rsidR="009E6C59" w:rsidRPr="00771B7E">
        <w:rPr>
          <w:rFonts w:ascii="Arial" w:hAnsi="Arial" w:cs="Arial"/>
          <w:sz w:val="22"/>
          <w:szCs w:val="22"/>
        </w:rPr>
        <w:t>así</w:t>
      </w:r>
      <w:r w:rsidRPr="00771B7E">
        <w:rPr>
          <w:rFonts w:ascii="Arial" w:hAnsi="Arial" w:cs="Arial"/>
          <w:sz w:val="22"/>
          <w:szCs w:val="22"/>
        </w:rPr>
        <w:t xml:space="preserve">  integrarla con la política de Transparencia, Participación y Servicio al Ciudadano.</w:t>
      </w:r>
    </w:p>
    <w:p w14:paraId="14138667" w14:textId="77777777" w:rsidR="0060157C" w:rsidRPr="00771B7E" w:rsidRDefault="0060157C">
      <w:pPr>
        <w:jc w:val="both"/>
        <w:rPr>
          <w:rFonts w:ascii="Arial" w:hAnsi="Arial" w:cs="Arial"/>
          <w:sz w:val="22"/>
          <w:szCs w:val="22"/>
        </w:rPr>
      </w:pPr>
    </w:p>
    <w:p w14:paraId="4C17E859" w14:textId="77777777" w:rsidR="0060157C" w:rsidRPr="00771B7E" w:rsidRDefault="0060157C">
      <w:pPr>
        <w:jc w:val="both"/>
        <w:rPr>
          <w:rFonts w:ascii="Arial" w:hAnsi="Arial" w:cs="Arial"/>
          <w:sz w:val="22"/>
          <w:szCs w:val="22"/>
          <w:shd w:val="clear" w:color="auto" w:fill="FFFFFF"/>
        </w:rPr>
      </w:pPr>
      <w:r w:rsidRPr="00771B7E">
        <w:rPr>
          <w:rFonts w:ascii="Arial" w:hAnsi="Arial" w:cs="Arial"/>
          <w:sz w:val="22"/>
          <w:szCs w:val="22"/>
          <w:shd w:val="clear" w:color="auto" w:fill="FFFFFF"/>
        </w:rPr>
        <w:t>La rendición de cuentas es un espacio de interlocución entre los servidores públicos y la ciudadanía que tiene como finalidad generar transparencia, condiciones de confianza entre las entidades y ciudadanos y garantizar el ejercicio del control social a la administración. Además, sirve como insumo para ajustar proyectos y planes de acción para su realización y atender las necesidades manifestadas por la ciudadanía, evidenciando la articulación de la planeación y gestión institucional a la protección y promoción de  los derechos humanos.</w:t>
      </w:r>
    </w:p>
    <w:p w14:paraId="4C396A62" w14:textId="77777777" w:rsidR="0060157C" w:rsidRPr="00771B7E" w:rsidRDefault="0060157C">
      <w:pPr>
        <w:jc w:val="both"/>
        <w:rPr>
          <w:rFonts w:ascii="Arial" w:hAnsi="Arial" w:cs="Arial"/>
          <w:sz w:val="22"/>
          <w:szCs w:val="22"/>
          <w:shd w:val="clear" w:color="auto" w:fill="FFFFFF"/>
        </w:rPr>
      </w:pPr>
    </w:p>
    <w:p w14:paraId="51B31974" w14:textId="77777777" w:rsidR="0060157C" w:rsidRPr="00771B7E" w:rsidRDefault="0060157C">
      <w:pPr>
        <w:jc w:val="both"/>
        <w:rPr>
          <w:rFonts w:ascii="Arial" w:hAnsi="Arial" w:cs="Arial"/>
          <w:sz w:val="22"/>
          <w:szCs w:val="22"/>
          <w:shd w:val="clear" w:color="auto" w:fill="FFFFFF"/>
        </w:rPr>
      </w:pPr>
      <w:r w:rsidRPr="00771B7E">
        <w:rPr>
          <w:rFonts w:ascii="Arial" w:hAnsi="Arial" w:cs="Arial"/>
          <w:sz w:val="22"/>
          <w:szCs w:val="22"/>
          <w:shd w:val="clear" w:color="auto" w:fill="FFFFFF"/>
        </w:rPr>
        <w:t xml:space="preserve">Durante la vigencia 2018 se realizó el seguimiento trimestral a las actividades propuestas en la estrategia de rendición de cuentas, convirtiéndose en un insumo para la formulación de la estrategia de la vigencia 2019. El seguimiento a la estrategia se encuentra publicado en la página web institucional en el siguiente link:  </w:t>
      </w:r>
      <w:hyperlink r:id="rId8" w:history="1">
        <w:r w:rsidRPr="00771B7E">
          <w:rPr>
            <w:rStyle w:val="Hipervnculo"/>
            <w:rFonts w:ascii="Arial" w:hAnsi="Arial" w:cs="Arial"/>
            <w:sz w:val="22"/>
            <w:szCs w:val="22"/>
            <w:shd w:val="clear" w:color="auto" w:fill="FFFFFF"/>
          </w:rPr>
          <w:t>http://www.idep.edu.co/?q=content/estrategia-de-rendici%C3%B3n-de-cuentas</w:t>
        </w:r>
      </w:hyperlink>
      <w:r w:rsidRPr="00771B7E">
        <w:rPr>
          <w:rFonts w:ascii="Arial" w:hAnsi="Arial" w:cs="Arial"/>
          <w:sz w:val="22"/>
          <w:szCs w:val="22"/>
          <w:shd w:val="clear" w:color="auto" w:fill="FFFFFF"/>
        </w:rPr>
        <w:t xml:space="preserve"> </w:t>
      </w:r>
    </w:p>
    <w:p w14:paraId="5EE4478A" w14:textId="77777777" w:rsidR="0060157C" w:rsidRPr="00771B7E" w:rsidRDefault="0060157C">
      <w:pPr>
        <w:jc w:val="both"/>
        <w:rPr>
          <w:rFonts w:ascii="Arial" w:hAnsi="Arial" w:cs="Arial"/>
          <w:sz w:val="22"/>
          <w:szCs w:val="22"/>
          <w:shd w:val="clear" w:color="auto" w:fill="FFFFFF"/>
        </w:rPr>
      </w:pPr>
    </w:p>
    <w:p w14:paraId="76994F26" w14:textId="77777777" w:rsidR="0060157C" w:rsidRPr="00771B7E" w:rsidRDefault="0060157C">
      <w:pPr>
        <w:jc w:val="both"/>
        <w:rPr>
          <w:rFonts w:ascii="Arial" w:hAnsi="Arial" w:cs="Arial"/>
          <w:sz w:val="22"/>
          <w:szCs w:val="22"/>
          <w:shd w:val="clear" w:color="auto" w:fill="FFFFFF"/>
        </w:rPr>
      </w:pPr>
    </w:p>
    <w:p w14:paraId="727E52B9" w14:textId="77777777" w:rsidR="00DC36B8" w:rsidRPr="00771B7E" w:rsidRDefault="00DC36B8">
      <w:pPr>
        <w:rPr>
          <w:rFonts w:ascii="Arial" w:hAnsi="Arial" w:cs="Arial"/>
          <w:sz w:val="22"/>
          <w:szCs w:val="22"/>
        </w:rPr>
      </w:pPr>
    </w:p>
    <w:p w14:paraId="73386F07" w14:textId="77777777" w:rsidR="00B37228" w:rsidRPr="00771B7E" w:rsidRDefault="00B37228">
      <w:pPr>
        <w:pStyle w:val="Ttulo1"/>
        <w:spacing w:line="240" w:lineRule="auto"/>
        <w:jc w:val="left"/>
        <w:rPr>
          <w:color w:val="auto"/>
          <w:sz w:val="22"/>
          <w:szCs w:val="22"/>
        </w:rPr>
      </w:pPr>
      <w:bookmarkStart w:id="2" w:name="_Toc1986549"/>
      <w:r w:rsidRPr="00771B7E">
        <w:rPr>
          <w:color w:val="auto"/>
          <w:sz w:val="22"/>
          <w:szCs w:val="22"/>
        </w:rPr>
        <w:t>OBJETIVOS DE LA RENDICIÓN DE CUENTAS</w:t>
      </w:r>
      <w:bookmarkEnd w:id="2"/>
    </w:p>
    <w:p w14:paraId="57084811" w14:textId="77777777" w:rsidR="0060157C" w:rsidRPr="00771B7E" w:rsidRDefault="0060157C">
      <w:pPr>
        <w:pStyle w:val="Normal1"/>
      </w:pPr>
    </w:p>
    <w:p w14:paraId="73C19CFF" w14:textId="6392E059" w:rsidR="00B37228" w:rsidRPr="00771B7E" w:rsidRDefault="00B37228">
      <w:pPr>
        <w:jc w:val="both"/>
        <w:rPr>
          <w:rFonts w:ascii="Arial" w:hAnsi="Arial" w:cs="Arial"/>
          <w:sz w:val="22"/>
          <w:szCs w:val="22"/>
        </w:rPr>
      </w:pPr>
      <w:r w:rsidRPr="00771B7E">
        <w:rPr>
          <w:rFonts w:ascii="Arial" w:hAnsi="Arial" w:cs="Arial"/>
          <w:sz w:val="22"/>
          <w:szCs w:val="22"/>
        </w:rPr>
        <w:t xml:space="preserve">El IDEP atendiendo los lineamientos establecidos por la Veeduría Distrital y el Departamento Administrativo de la Función Pública – DAFP para el mejoramiento y fortalecimiento de la gestión, plantea como objetivos del proceso de rendición de cuentas los siguientes:  </w:t>
      </w:r>
    </w:p>
    <w:p w14:paraId="65B0E742" w14:textId="77777777" w:rsidR="00B37228" w:rsidRPr="00771B7E" w:rsidRDefault="00B37228">
      <w:pPr>
        <w:jc w:val="both"/>
        <w:rPr>
          <w:rFonts w:ascii="Arial" w:hAnsi="Arial" w:cs="Arial"/>
          <w:sz w:val="22"/>
          <w:szCs w:val="22"/>
        </w:rPr>
      </w:pPr>
    </w:p>
    <w:p w14:paraId="4EA4BC4C" w14:textId="7306670C" w:rsidR="00B37228" w:rsidRPr="00771B7E" w:rsidRDefault="00B37228" w:rsidP="00F67007">
      <w:pPr>
        <w:pStyle w:val="Prrafodelista"/>
        <w:numPr>
          <w:ilvl w:val="0"/>
          <w:numId w:val="2"/>
        </w:numPr>
        <w:spacing w:after="0" w:line="240" w:lineRule="auto"/>
        <w:ind w:left="426" w:hanging="426"/>
        <w:jc w:val="both"/>
        <w:rPr>
          <w:rFonts w:ascii="Arial" w:eastAsia="Times New Roman" w:hAnsi="Arial" w:cs="Arial"/>
        </w:rPr>
      </w:pPr>
      <w:r w:rsidRPr="00771B7E">
        <w:rPr>
          <w:rFonts w:ascii="Arial" w:eastAsia="Times New Roman" w:hAnsi="Arial" w:cs="Arial"/>
        </w:rPr>
        <w:t xml:space="preserve">Adelantar acciones concretas que se conviertan en instrumentos de participación ciudadana presenciales o virtuales para el control social, transparencia y lucha contra la </w:t>
      </w:r>
      <w:r w:rsidR="008122D1" w:rsidRPr="00771B7E">
        <w:rPr>
          <w:rFonts w:ascii="Arial" w:eastAsia="Times New Roman" w:hAnsi="Arial" w:cs="Arial"/>
        </w:rPr>
        <w:t>corrupción para la garantía y protección de los derechos de los ciudadanos.</w:t>
      </w:r>
      <w:r w:rsidRPr="00771B7E">
        <w:rPr>
          <w:rFonts w:ascii="Arial" w:eastAsia="Times New Roman" w:hAnsi="Arial" w:cs="Arial"/>
        </w:rPr>
        <w:t xml:space="preserve"> </w:t>
      </w:r>
    </w:p>
    <w:p w14:paraId="20D889FA" w14:textId="77777777" w:rsidR="00B37228" w:rsidRPr="00771B7E" w:rsidRDefault="00B37228" w:rsidP="00F67007">
      <w:pPr>
        <w:pStyle w:val="Prrafodelista"/>
        <w:numPr>
          <w:ilvl w:val="0"/>
          <w:numId w:val="2"/>
        </w:numPr>
        <w:spacing w:after="0" w:line="240" w:lineRule="auto"/>
        <w:ind w:left="426" w:hanging="426"/>
        <w:jc w:val="both"/>
        <w:rPr>
          <w:rFonts w:ascii="Arial" w:hAnsi="Arial" w:cs="Arial"/>
        </w:rPr>
      </w:pPr>
      <w:r w:rsidRPr="00771B7E">
        <w:rPr>
          <w:rFonts w:ascii="Arial" w:hAnsi="Arial" w:cs="Arial"/>
        </w:rPr>
        <w:t>Generar información con atributos de mayor calidad y de fácil comprensión para la ciudadanía</w:t>
      </w:r>
    </w:p>
    <w:p w14:paraId="2E31F18C" w14:textId="77777777" w:rsidR="00B37228" w:rsidRPr="00771B7E" w:rsidRDefault="00B37228" w:rsidP="00F67007">
      <w:pPr>
        <w:pStyle w:val="Prrafodelista"/>
        <w:numPr>
          <w:ilvl w:val="0"/>
          <w:numId w:val="2"/>
        </w:numPr>
        <w:spacing w:after="0" w:line="240" w:lineRule="auto"/>
        <w:ind w:left="426" w:hanging="426"/>
        <w:jc w:val="both"/>
        <w:rPr>
          <w:rFonts w:ascii="Arial" w:hAnsi="Arial" w:cs="Arial"/>
        </w:rPr>
      </w:pPr>
      <w:r w:rsidRPr="00771B7E">
        <w:rPr>
          <w:rFonts w:ascii="Arial" w:hAnsi="Arial" w:cs="Arial"/>
        </w:rPr>
        <w:t xml:space="preserve">Fortalecer el compromiso de los funcionarios en el proceso de rendición de cuentas. </w:t>
      </w:r>
    </w:p>
    <w:p w14:paraId="4D0C4467" w14:textId="77777777" w:rsidR="00B37228" w:rsidRPr="00771B7E" w:rsidRDefault="00B37228" w:rsidP="00F67007">
      <w:pPr>
        <w:pStyle w:val="Prrafodelista"/>
        <w:numPr>
          <w:ilvl w:val="0"/>
          <w:numId w:val="2"/>
        </w:numPr>
        <w:spacing w:after="0" w:line="240" w:lineRule="auto"/>
        <w:ind w:left="426" w:hanging="426"/>
        <w:jc w:val="both"/>
        <w:rPr>
          <w:rFonts w:ascii="Arial" w:hAnsi="Arial" w:cs="Arial"/>
        </w:rPr>
      </w:pPr>
      <w:r w:rsidRPr="00771B7E">
        <w:rPr>
          <w:rFonts w:ascii="Arial" w:hAnsi="Arial" w:cs="Arial"/>
        </w:rPr>
        <w:t>Generar incentivos para rendir y pedir cuentas</w:t>
      </w:r>
    </w:p>
    <w:p w14:paraId="6AA8F443" w14:textId="77777777" w:rsidR="00B37228" w:rsidRPr="00771B7E" w:rsidRDefault="00B37228" w:rsidP="00F67007">
      <w:pPr>
        <w:pStyle w:val="Prrafodelista"/>
        <w:numPr>
          <w:ilvl w:val="0"/>
          <w:numId w:val="2"/>
        </w:numPr>
        <w:spacing w:after="0" w:line="240" w:lineRule="auto"/>
        <w:ind w:left="426" w:hanging="426"/>
        <w:jc w:val="both"/>
        <w:rPr>
          <w:rFonts w:ascii="Arial" w:hAnsi="Arial" w:cs="Arial"/>
        </w:rPr>
      </w:pPr>
      <w:r w:rsidRPr="00771B7E">
        <w:rPr>
          <w:rFonts w:ascii="Arial" w:hAnsi="Arial" w:cs="Arial"/>
        </w:rPr>
        <w:t>Generar mayor credibilidad por parte de la ciudadanía y partes interesadas.</w:t>
      </w:r>
    </w:p>
    <w:p w14:paraId="6EAFAE2A" w14:textId="77777777" w:rsidR="000F5610" w:rsidRPr="00771B7E" w:rsidRDefault="000F5610">
      <w:pPr>
        <w:jc w:val="both"/>
        <w:rPr>
          <w:rFonts w:ascii="Arial" w:hAnsi="Arial" w:cs="Arial"/>
          <w:sz w:val="22"/>
          <w:szCs w:val="22"/>
        </w:rPr>
      </w:pPr>
    </w:p>
    <w:p w14:paraId="64B97CD0" w14:textId="77777777" w:rsidR="00B37228" w:rsidRPr="00771B7E" w:rsidRDefault="00B37228" w:rsidP="00F67007">
      <w:pPr>
        <w:pStyle w:val="Ttulo1"/>
        <w:numPr>
          <w:ilvl w:val="0"/>
          <w:numId w:val="3"/>
        </w:numPr>
        <w:spacing w:line="240" w:lineRule="auto"/>
        <w:jc w:val="left"/>
        <w:rPr>
          <w:color w:val="auto"/>
          <w:sz w:val="22"/>
          <w:szCs w:val="22"/>
        </w:rPr>
      </w:pPr>
      <w:bookmarkStart w:id="3" w:name="_Toc1986550"/>
      <w:r w:rsidRPr="00771B7E">
        <w:rPr>
          <w:color w:val="auto"/>
          <w:sz w:val="22"/>
          <w:szCs w:val="22"/>
        </w:rPr>
        <w:t xml:space="preserve">ANÁLISIS DEL ESTADO DEL PROCESO DE RENDICIÓN DE CUENTAS DEL </w:t>
      </w:r>
      <w:r w:rsidR="006C6236" w:rsidRPr="00771B7E">
        <w:rPr>
          <w:color w:val="auto"/>
          <w:sz w:val="22"/>
          <w:szCs w:val="22"/>
        </w:rPr>
        <w:t>I</w:t>
      </w:r>
      <w:r w:rsidRPr="00771B7E">
        <w:rPr>
          <w:color w:val="auto"/>
          <w:sz w:val="22"/>
          <w:szCs w:val="22"/>
        </w:rPr>
        <w:t>DEP</w:t>
      </w:r>
      <w:bookmarkEnd w:id="3"/>
    </w:p>
    <w:p w14:paraId="3AF625A2" w14:textId="77777777" w:rsidR="0060157C" w:rsidRPr="00771B7E" w:rsidRDefault="0060157C">
      <w:pPr>
        <w:pStyle w:val="Normal1"/>
      </w:pPr>
    </w:p>
    <w:p w14:paraId="100E8B2D" w14:textId="77777777" w:rsidR="00B37228" w:rsidRPr="00771B7E" w:rsidRDefault="00B37228">
      <w:pPr>
        <w:pStyle w:val="Default"/>
        <w:jc w:val="both"/>
        <w:rPr>
          <w:color w:val="auto"/>
          <w:sz w:val="22"/>
          <w:szCs w:val="22"/>
        </w:rPr>
      </w:pPr>
      <w:r w:rsidRPr="00771B7E">
        <w:rPr>
          <w:color w:val="auto"/>
          <w:sz w:val="22"/>
          <w:szCs w:val="22"/>
        </w:rPr>
        <w:t xml:space="preserve">El IDEP realiza anualmente una audiencia de Rendición de Cuentas a la ciudadanía sobre la gestión adelantada durante la vigencia. Igualmente, cada año, a través de los eventos de </w:t>
      </w:r>
      <w:r w:rsidRPr="00771B7E">
        <w:rPr>
          <w:color w:val="auto"/>
          <w:sz w:val="22"/>
          <w:szCs w:val="22"/>
        </w:rPr>
        <w:lastRenderedPageBreak/>
        <w:t xml:space="preserve">socialización de las investigaciones y desarrollos pedagógicos que realiza la Subdirección Académica, adelanta actividades de rendición de cuentas a la ciudadanía, mediante seminarios, socializaciones, talleres, diálogos de saberes por iniciativa propia y con el fin de cumplir con el propósito de informar a la comunidad sobre los avances y resultados de estos procesos. </w:t>
      </w:r>
    </w:p>
    <w:p w14:paraId="18FDF03A" w14:textId="77777777" w:rsidR="00B37228" w:rsidRPr="00771B7E" w:rsidRDefault="00B37228">
      <w:pPr>
        <w:pStyle w:val="Default"/>
        <w:jc w:val="both"/>
        <w:rPr>
          <w:color w:val="auto"/>
          <w:sz w:val="22"/>
          <w:szCs w:val="22"/>
        </w:rPr>
      </w:pPr>
    </w:p>
    <w:p w14:paraId="60F5A15B" w14:textId="77777777" w:rsidR="00B37228" w:rsidRPr="00771B7E" w:rsidRDefault="00B37228">
      <w:pPr>
        <w:pStyle w:val="Default"/>
        <w:jc w:val="both"/>
        <w:rPr>
          <w:color w:val="auto"/>
          <w:sz w:val="22"/>
          <w:szCs w:val="22"/>
        </w:rPr>
      </w:pPr>
      <w:r w:rsidRPr="00771B7E">
        <w:rPr>
          <w:color w:val="auto"/>
          <w:sz w:val="22"/>
          <w:szCs w:val="22"/>
        </w:rPr>
        <w:t>Aunado a lo anterior, a través de la página Web</w:t>
      </w:r>
      <w:r w:rsidR="00DC36B8" w:rsidRPr="00771B7E">
        <w:rPr>
          <w:color w:val="auto"/>
          <w:sz w:val="22"/>
          <w:szCs w:val="22"/>
        </w:rPr>
        <w:t xml:space="preserve"> (www.idep.edu.co) en el enlace</w:t>
      </w:r>
      <w:r w:rsidRPr="00771B7E">
        <w:rPr>
          <w:color w:val="auto"/>
          <w:sz w:val="22"/>
          <w:szCs w:val="22"/>
        </w:rPr>
        <w:t xml:space="preserve"> denominado TRANSPARENCIA Y ACCESO A LA INFORMACIÓN PÚBLICA, e</w:t>
      </w:r>
      <w:r w:rsidRPr="00771B7E">
        <w:rPr>
          <w:color w:val="auto"/>
          <w:sz w:val="22"/>
          <w:szCs w:val="22"/>
          <w:shd w:val="clear" w:color="auto" w:fill="FFFFFF"/>
        </w:rPr>
        <w:t xml:space="preserve">n cumplimiento a la Ley 1712 del 6 de marzo de 2014 y el Decreto Reglamentario 103 de 2015, el IDEP pone a disposición de la ciudadanía información sobre </w:t>
      </w:r>
      <w:r w:rsidRPr="00771B7E">
        <w:rPr>
          <w:color w:val="auto"/>
          <w:sz w:val="22"/>
          <w:szCs w:val="22"/>
        </w:rPr>
        <w:t xml:space="preserve">rendición de cuentas, metas e indicadores de </w:t>
      </w:r>
      <w:r w:rsidR="00DC36B8" w:rsidRPr="00771B7E">
        <w:rPr>
          <w:color w:val="auto"/>
          <w:sz w:val="22"/>
          <w:szCs w:val="22"/>
        </w:rPr>
        <w:t>gestión, presupuesto, ejecución</w:t>
      </w:r>
      <w:r w:rsidRPr="00771B7E">
        <w:rPr>
          <w:color w:val="auto"/>
          <w:sz w:val="22"/>
          <w:szCs w:val="22"/>
        </w:rPr>
        <w:t xml:space="preserve"> de proyectos y planes de mejoramiento, entre otros.</w:t>
      </w:r>
    </w:p>
    <w:p w14:paraId="4A3C1A6B" w14:textId="77777777" w:rsidR="0060157C" w:rsidRPr="00771B7E" w:rsidRDefault="0060157C">
      <w:pPr>
        <w:pStyle w:val="Default"/>
        <w:jc w:val="both"/>
        <w:rPr>
          <w:color w:val="auto"/>
          <w:sz w:val="22"/>
          <w:szCs w:val="22"/>
        </w:rPr>
      </w:pPr>
    </w:p>
    <w:p w14:paraId="7ECE4618" w14:textId="0CECC333" w:rsidR="0060157C" w:rsidRPr="00771B7E" w:rsidRDefault="0060157C">
      <w:pPr>
        <w:pStyle w:val="Default"/>
        <w:jc w:val="both"/>
        <w:rPr>
          <w:color w:val="auto"/>
          <w:sz w:val="22"/>
          <w:szCs w:val="22"/>
          <w:shd w:val="clear" w:color="auto" w:fill="FFFFFF"/>
        </w:rPr>
      </w:pPr>
      <w:r w:rsidRPr="00771B7E">
        <w:rPr>
          <w:color w:val="auto"/>
          <w:sz w:val="22"/>
          <w:szCs w:val="22"/>
        </w:rPr>
        <w:t xml:space="preserve">Teniendo en cuenta </w:t>
      </w:r>
      <w:r w:rsidR="00375151" w:rsidRPr="00771B7E">
        <w:rPr>
          <w:color w:val="auto"/>
          <w:sz w:val="22"/>
          <w:szCs w:val="22"/>
        </w:rPr>
        <w:t>el seguimiento</w:t>
      </w:r>
      <w:r w:rsidRPr="00771B7E">
        <w:rPr>
          <w:color w:val="auto"/>
          <w:sz w:val="22"/>
          <w:szCs w:val="22"/>
        </w:rPr>
        <w:t xml:space="preserve"> de la estrategia utilizada en la vigencia anterior </w:t>
      </w:r>
      <w:r w:rsidR="00375151" w:rsidRPr="00771B7E">
        <w:rPr>
          <w:color w:val="auto"/>
          <w:sz w:val="22"/>
          <w:szCs w:val="22"/>
        </w:rPr>
        <w:t xml:space="preserve"> y a</w:t>
      </w:r>
      <w:r w:rsidRPr="00771B7E">
        <w:rPr>
          <w:color w:val="auto"/>
          <w:sz w:val="22"/>
          <w:szCs w:val="22"/>
        </w:rPr>
        <w:t xml:space="preserve"> partir de los lineamientos del Manual Único de Rendición de cuentas de Función </w:t>
      </w:r>
      <w:r w:rsidR="009E6C59" w:rsidRPr="00771B7E">
        <w:rPr>
          <w:color w:val="auto"/>
          <w:sz w:val="22"/>
          <w:szCs w:val="22"/>
        </w:rPr>
        <w:t>P</w:t>
      </w:r>
      <w:r w:rsidR="007C4C9C" w:rsidRPr="00771B7E">
        <w:rPr>
          <w:color w:val="auto"/>
          <w:sz w:val="22"/>
          <w:szCs w:val="22"/>
        </w:rPr>
        <w:t>ública, se realizó</w:t>
      </w:r>
      <w:r w:rsidRPr="00771B7E">
        <w:rPr>
          <w:color w:val="auto"/>
          <w:sz w:val="22"/>
          <w:szCs w:val="22"/>
        </w:rPr>
        <w:t xml:space="preserve"> el autodiagnóstico  de rendición de cuentas</w:t>
      </w:r>
      <w:r w:rsidR="007C4C9C" w:rsidRPr="00771B7E">
        <w:rPr>
          <w:color w:val="auto"/>
          <w:sz w:val="22"/>
          <w:szCs w:val="22"/>
        </w:rPr>
        <w:t xml:space="preserve"> durante </w:t>
      </w:r>
      <w:r w:rsidR="00375151" w:rsidRPr="00771B7E">
        <w:rPr>
          <w:color w:val="auto"/>
          <w:sz w:val="22"/>
          <w:szCs w:val="22"/>
          <w:shd w:val="clear" w:color="auto" w:fill="FFFFFF"/>
        </w:rPr>
        <w:t>el primer trimestre de la vigencia 2019 por la entidad</w:t>
      </w:r>
      <w:r w:rsidRPr="00771B7E">
        <w:rPr>
          <w:color w:val="auto"/>
          <w:sz w:val="22"/>
          <w:szCs w:val="22"/>
        </w:rPr>
        <w:t xml:space="preserve">, con el fin de </w:t>
      </w:r>
      <w:r w:rsidRPr="00771B7E">
        <w:rPr>
          <w:color w:val="auto"/>
          <w:sz w:val="22"/>
          <w:szCs w:val="22"/>
          <w:shd w:val="clear" w:color="auto" w:fill="FFFFFF"/>
        </w:rPr>
        <w:t xml:space="preserve">evaluar los procesos que </w:t>
      </w:r>
      <w:r w:rsidR="007C4C9C" w:rsidRPr="00771B7E">
        <w:rPr>
          <w:color w:val="auto"/>
          <w:sz w:val="22"/>
          <w:szCs w:val="22"/>
          <w:shd w:val="clear" w:color="auto" w:fill="FFFFFF"/>
        </w:rPr>
        <w:t>desarrolló</w:t>
      </w:r>
      <w:r w:rsidRPr="00771B7E">
        <w:rPr>
          <w:color w:val="auto"/>
          <w:sz w:val="22"/>
          <w:szCs w:val="22"/>
          <w:shd w:val="clear" w:color="auto" w:fill="FFFFFF"/>
        </w:rPr>
        <w:t xml:space="preserve"> la entidad durante el año anterior para identificar fortalezas, debilidades, aspectos a mejorar en los nuevos procesos.</w:t>
      </w:r>
      <w:r w:rsidR="00375151" w:rsidRPr="00771B7E">
        <w:rPr>
          <w:color w:val="auto"/>
          <w:sz w:val="22"/>
          <w:szCs w:val="22"/>
          <w:shd w:val="clear" w:color="auto" w:fill="FFFFFF"/>
        </w:rPr>
        <w:t xml:space="preserve"> </w:t>
      </w:r>
    </w:p>
    <w:p w14:paraId="4A641502" w14:textId="77777777" w:rsidR="0060157C" w:rsidRPr="00771B7E" w:rsidRDefault="0060157C">
      <w:pPr>
        <w:pStyle w:val="Default"/>
        <w:jc w:val="both"/>
        <w:rPr>
          <w:color w:val="auto"/>
          <w:sz w:val="22"/>
          <w:szCs w:val="22"/>
          <w:shd w:val="clear" w:color="auto" w:fill="FFFFFF"/>
        </w:rPr>
      </w:pPr>
    </w:p>
    <w:p w14:paraId="7C86C52A" w14:textId="77777777" w:rsidR="0060157C" w:rsidRPr="00771B7E" w:rsidRDefault="0060157C">
      <w:pPr>
        <w:pStyle w:val="Default"/>
        <w:jc w:val="both"/>
        <w:rPr>
          <w:color w:val="auto"/>
          <w:sz w:val="22"/>
          <w:szCs w:val="22"/>
          <w:shd w:val="clear" w:color="auto" w:fill="FFFFFF"/>
        </w:rPr>
      </w:pPr>
      <w:r w:rsidRPr="00771B7E">
        <w:rPr>
          <w:color w:val="auto"/>
          <w:sz w:val="22"/>
          <w:szCs w:val="22"/>
          <w:shd w:val="clear" w:color="auto" w:fill="FFFFFF"/>
        </w:rPr>
        <w:t xml:space="preserve">Esta actividad permite a la entidad identificar los insumos para el diseño y elaboración de la estrategia de rendición de cuentas basada en el enfoque de derechos y paz. Para lo anterior, se requiere: </w:t>
      </w:r>
    </w:p>
    <w:p w14:paraId="5946DB7C" w14:textId="77777777" w:rsidR="0060157C" w:rsidRPr="00771B7E" w:rsidRDefault="0060157C">
      <w:pPr>
        <w:pStyle w:val="Default"/>
        <w:jc w:val="both"/>
        <w:rPr>
          <w:color w:val="auto"/>
          <w:sz w:val="22"/>
          <w:szCs w:val="22"/>
          <w:shd w:val="clear" w:color="auto" w:fill="FFFFFF"/>
        </w:rPr>
      </w:pPr>
    </w:p>
    <w:p w14:paraId="0E5F0E60" w14:textId="7E7BBC30" w:rsidR="0060157C" w:rsidRPr="00771B7E" w:rsidRDefault="0060157C" w:rsidP="00F67007">
      <w:pPr>
        <w:pStyle w:val="Default"/>
        <w:numPr>
          <w:ilvl w:val="0"/>
          <w:numId w:val="4"/>
        </w:numPr>
        <w:jc w:val="both"/>
        <w:rPr>
          <w:color w:val="auto"/>
          <w:sz w:val="22"/>
          <w:szCs w:val="22"/>
          <w:shd w:val="clear" w:color="auto" w:fill="FFFFFF"/>
        </w:rPr>
      </w:pPr>
      <w:r w:rsidRPr="00771B7E">
        <w:rPr>
          <w:color w:val="auto"/>
          <w:sz w:val="22"/>
          <w:szCs w:val="22"/>
          <w:shd w:val="clear" w:color="auto" w:fill="FFFFFF"/>
        </w:rPr>
        <w:t>Identificar el nivel en que se encuentra la entidad en materia de rendición de cuentas</w:t>
      </w:r>
      <w:r w:rsidR="00E26A6E" w:rsidRPr="00771B7E">
        <w:rPr>
          <w:color w:val="auto"/>
          <w:sz w:val="22"/>
          <w:szCs w:val="22"/>
          <w:shd w:val="clear" w:color="auto" w:fill="FFFFFF"/>
        </w:rPr>
        <w:t>.</w:t>
      </w:r>
    </w:p>
    <w:p w14:paraId="319FB3D3" w14:textId="27979D56" w:rsidR="007C4C9C" w:rsidRPr="00771B7E" w:rsidRDefault="0060157C" w:rsidP="00F67007">
      <w:pPr>
        <w:pStyle w:val="Default"/>
        <w:numPr>
          <w:ilvl w:val="0"/>
          <w:numId w:val="4"/>
        </w:numPr>
        <w:shd w:val="clear" w:color="auto" w:fill="FFFFFF"/>
        <w:spacing w:before="150" w:after="150"/>
        <w:jc w:val="both"/>
        <w:rPr>
          <w:color w:val="auto"/>
          <w:sz w:val="22"/>
          <w:szCs w:val="22"/>
        </w:rPr>
      </w:pPr>
      <w:r w:rsidRPr="00771B7E">
        <w:rPr>
          <w:color w:val="auto"/>
          <w:sz w:val="22"/>
          <w:szCs w:val="22"/>
          <w:shd w:val="clear" w:color="auto" w:fill="FFFFFF"/>
        </w:rPr>
        <w:t>Evaluar los procesos que se han realizado de rendición de cuentas y los resultados obtenidos</w:t>
      </w:r>
      <w:r w:rsidR="00E26A6E" w:rsidRPr="00771B7E">
        <w:rPr>
          <w:color w:val="auto"/>
          <w:sz w:val="22"/>
          <w:szCs w:val="22"/>
          <w:shd w:val="clear" w:color="auto" w:fill="FFFFFF"/>
        </w:rPr>
        <w:t>.</w:t>
      </w:r>
    </w:p>
    <w:p w14:paraId="5C9CFAF1" w14:textId="77777777" w:rsidR="00E26A6E" w:rsidRPr="00771B7E" w:rsidRDefault="00E26A6E" w:rsidP="00610414">
      <w:pPr>
        <w:pStyle w:val="Ttulo2"/>
        <w:ind w:left="1080"/>
        <w:rPr>
          <w:rFonts w:ascii="Arial" w:hAnsi="Arial" w:cs="Arial"/>
          <w:color w:val="auto"/>
          <w:sz w:val="22"/>
          <w:szCs w:val="22"/>
        </w:rPr>
      </w:pPr>
    </w:p>
    <w:p w14:paraId="239390DF" w14:textId="7C9A1C6E" w:rsidR="007C4C9C" w:rsidRPr="00771B7E" w:rsidRDefault="007C4C9C" w:rsidP="00F67007">
      <w:pPr>
        <w:pStyle w:val="Ttulo2"/>
        <w:numPr>
          <w:ilvl w:val="1"/>
          <w:numId w:val="3"/>
        </w:numPr>
        <w:rPr>
          <w:rFonts w:ascii="Arial" w:hAnsi="Arial" w:cs="Arial"/>
          <w:b w:val="0"/>
          <w:bCs w:val="0"/>
          <w:sz w:val="22"/>
          <w:szCs w:val="22"/>
        </w:rPr>
      </w:pPr>
      <w:bookmarkStart w:id="4" w:name="_Toc1986551"/>
      <w:r w:rsidRPr="00771B7E">
        <w:rPr>
          <w:rFonts w:ascii="Arial" w:hAnsi="Arial" w:cs="Arial"/>
          <w:bCs w:val="0"/>
          <w:color w:val="auto"/>
          <w:sz w:val="22"/>
          <w:szCs w:val="22"/>
        </w:rPr>
        <w:t>Autodiagnóstico Modelo Integrado de Gestión y Planeación</w:t>
      </w:r>
      <w:bookmarkEnd w:id="4"/>
      <w:r w:rsidRPr="00771B7E">
        <w:rPr>
          <w:rFonts w:ascii="Arial" w:hAnsi="Arial" w:cs="Arial"/>
          <w:b w:val="0"/>
          <w:bCs w:val="0"/>
          <w:color w:val="auto"/>
          <w:sz w:val="22"/>
          <w:szCs w:val="22"/>
        </w:rPr>
        <w:t xml:space="preserve"> </w:t>
      </w:r>
    </w:p>
    <w:p w14:paraId="3F41B08E" w14:textId="77777777" w:rsidR="00610414" w:rsidRPr="00771B7E" w:rsidRDefault="00610414" w:rsidP="00610414">
      <w:pPr>
        <w:rPr>
          <w:rFonts w:ascii="Arial" w:hAnsi="Arial" w:cs="Arial"/>
          <w:sz w:val="22"/>
          <w:szCs w:val="22"/>
        </w:rPr>
      </w:pPr>
    </w:p>
    <w:p w14:paraId="562FF26A" w14:textId="51232420" w:rsidR="00E26A6E" w:rsidRPr="00771B7E" w:rsidRDefault="00E26A6E" w:rsidP="00E26A6E">
      <w:pPr>
        <w:jc w:val="both"/>
        <w:rPr>
          <w:rFonts w:ascii="Arial" w:hAnsi="Arial" w:cs="Arial"/>
          <w:sz w:val="22"/>
          <w:szCs w:val="22"/>
          <w:lang w:val="es-ES"/>
        </w:rPr>
      </w:pPr>
      <w:r w:rsidRPr="00771B7E">
        <w:rPr>
          <w:rFonts w:ascii="Arial" w:hAnsi="Arial" w:cs="Arial"/>
          <w:sz w:val="22"/>
          <w:szCs w:val="22"/>
          <w:lang w:val="es-ES"/>
        </w:rPr>
        <w:t xml:space="preserve">En el marco del proceso de evaluar el proceso de rendición de cuentas que ha realizado la entidad durante la vigencia anterior para identificar sus fortalezas, debilidades y aspectos a mejorar en el proceso, realiza el autodiagnóstico </w:t>
      </w:r>
      <w:r w:rsidRPr="00771B7E">
        <w:rPr>
          <w:rFonts w:ascii="Arial" w:hAnsi="Arial" w:cs="Arial"/>
          <w:sz w:val="22"/>
          <w:szCs w:val="22"/>
        </w:rPr>
        <w:t>de Gestión de la Rendición de Cuentas</w:t>
      </w:r>
      <w:r w:rsidRPr="00771B7E">
        <w:rPr>
          <w:rFonts w:ascii="Arial" w:hAnsi="Arial" w:cs="Arial"/>
          <w:sz w:val="22"/>
          <w:szCs w:val="22"/>
          <w:lang w:val="es-ES"/>
        </w:rPr>
        <w:t xml:space="preserve"> en el marco del Modelo Integrado de Gestión y Planeación  en el cual el Instituto para la Investigación Educativa  y el Desarrollo Pedagógico IDEP se encuentra en un nivel de consolidación, al obtener una calificación de 72.2 en el autodiagnóstico, como se muestra a continuación: </w:t>
      </w:r>
    </w:p>
    <w:p w14:paraId="0873BF27" w14:textId="77777777" w:rsidR="00E26A6E" w:rsidRPr="00771B7E" w:rsidRDefault="00E26A6E" w:rsidP="00E26A6E">
      <w:pPr>
        <w:jc w:val="both"/>
        <w:rPr>
          <w:rFonts w:ascii="Arial" w:hAnsi="Arial" w:cs="Arial"/>
          <w:b/>
          <w:sz w:val="22"/>
          <w:szCs w:val="22"/>
        </w:rPr>
      </w:pPr>
      <w:r w:rsidRPr="00771B7E">
        <w:rPr>
          <w:rFonts w:ascii="Arial" w:hAnsi="Arial" w:cs="Arial"/>
          <w:sz w:val="22"/>
          <w:szCs w:val="22"/>
          <w:lang w:val="es-ES"/>
        </w:rPr>
        <w:t xml:space="preserve"> </w:t>
      </w: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0"/>
        <w:gridCol w:w="2486"/>
      </w:tblGrid>
      <w:tr w:rsidR="00E26A6E" w:rsidRPr="00771B7E" w14:paraId="48E3C790" w14:textId="77777777" w:rsidTr="002E3DB0">
        <w:trPr>
          <w:trHeight w:val="327"/>
          <w:jc w:val="center"/>
        </w:trPr>
        <w:tc>
          <w:tcPr>
            <w:tcW w:w="6956" w:type="dxa"/>
            <w:gridSpan w:val="2"/>
            <w:shd w:val="clear" w:color="auto" w:fill="DBE5F1" w:themeFill="accent1" w:themeFillTint="33"/>
            <w:noWrap/>
            <w:vAlign w:val="center"/>
            <w:hideMark/>
          </w:tcPr>
          <w:p w14:paraId="5B78EB32" w14:textId="77777777" w:rsidR="00E26A6E" w:rsidRPr="00771B7E" w:rsidRDefault="00E26A6E" w:rsidP="002E3DB0">
            <w:pPr>
              <w:jc w:val="center"/>
              <w:rPr>
                <w:rFonts w:ascii="Arial" w:hAnsi="Arial" w:cs="Arial"/>
                <w:b/>
                <w:bCs/>
                <w:color w:val="FFFFFF"/>
                <w:sz w:val="22"/>
                <w:szCs w:val="22"/>
              </w:rPr>
            </w:pPr>
            <w:r w:rsidRPr="00771B7E">
              <w:rPr>
                <w:rFonts w:ascii="Arial" w:hAnsi="Arial" w:cs="Arial"/>
                <w:b/>
                <w:bCs/>
                <w:sz w:val="22"/>
                <w:szCs w:val="22"/>
              </w:rPr>
              <w:t>Autodiagnóstico gestión de la rendición de cuentas</w:t>
            </w:r>
          </w:p>
        </w:tc>
      </w:tr>
      <w:tr w:rsidR="00E26A6E" w:rsidRPr="00771B7E" w14:paraId="644CD36E" w14:textId="77777777" w:rsidTr="002E3DB0">
        <w:trPr>
          <w:trHeight w:val="191"/>
          <w:jc w:val="center"/>
        </w:trPr>
        <w:tc>
          <w:tcPr>
            <w:tcW w:w="4470" w:type="dxa"/>
            <w:shd w:val="clear" w:color="auto" w:fill="auto"/>
            <w:noWrap/>
            <w:vAlign w:val="center"/>
            <w:hideMark/>
          </w:tcPr>
          <w:p w14:paraId="656BB674" w14:textId="77777777" w:rsidR="00E26A6E" w:rsidRPr="00771B7E" w:rsidRDefault="00E26A6E" w:rsidP="002E3DB0">
            <w:pPr>
              <w:jc w:val="center"/>
              <w:rPr>
                <w:rFonts w:ascii="Arial" w:hAnsi="Arial" w:cs="Arial"/>
                <w:b/>
                <w:bCs/>
                <w:color w:val="002060"/>
                <w:sz w:val="22"/>
                <w:szCs w:val="22"/>
              </w:rPr>
            </w:pPr>
            <w:r w:rsidRPr="00771B7E">
              <w:rPr>
                <w:rFonts w:ascii="Arial" w:hAnsi="Arial" w:cs="Arial"/>
                <w:b/>
                <w:bCs/>
                <w:color w:val="002060"/>
                <w:sz w:val="22"/>
                <w:szCs w:val="22"/>
              </w:rPr>
              <w:t>Calificación total</w:t>
            </w:r>
          </w:p>
        </w:tc>
        <w:tc>
          <w:tcPr>
            <w:tcW w:w="2486" w:type="dxa"/>
            <w:shd w:val="clear" w:color="auto" w:fill="auto"/>
            <w:noWrap/>
            <w:vAlign w:val="center"/>
            <w:hideMark/>
          </w:tcPr>
          <w:p w14:paraId="7043637E" w14:textId="77777777" w:rsidR="00E26A6E" w:rsidRPr="00771B7E" w:rsidRDefault="00E26A6E" w:rsidP="002E3DB0">
            <w:pPr>
              <w:jc w:val="center"/>
              <w:rPr>
                <w:rFonts w:ascii="Arial" w:hAnsi="Arial" w:cs="Arial"/>
                <w:b/>
                <w:bCs/>
                <w:color w:val="002060"/>
                <w:sz w:val="22"/>
                <w:szCs w:val="22"/>
              </w:rPr>
            </w:pPr>
            <w:r w:rsidRPr="00771B7E">
              <w:rPr>
                <w:rFonts w:ascii="Arial" w:hAnsi="Arial" w:cs="Arial"/>
                <w:b/>
                <w:bCs/>
                <w:color w:val="002060"/>
                <w:sz w:val="22"/>
                <w:szCs w:val="22"/>
              </w:rPr>
              <w:t>72,2</w:t>
            </w:r>
          </w:p>
        </w:tc>
      </w:tr>
      <w:tr w:rsidR="00E26A6E" w:rsidRPr="00771B7E" w14:paraId="3689BF20" w14:textId="77777777" w:rsidTr="002E3DB0">
        <w:trPr>
          <w:trHeight w:val="263"/>
          <w:jc w:val="center"/>
        </w:trPr>
        <w:tc>
          <w:tcPr>
            <w:tcW w:w="6956" w:type="dxa"/>
            <w:gridSpan w:val="2"/>
            <w:shd w:val="clear" w:color="auto" w:fill="FFFF00"/>
            <w:noWrap/>
            <w:vAlign w:val="center"/>
            <w:hideMark/>
          </w:tcPr>
          <w:p w14:paraId="72580A22" w14:textId="77777777" w:rsidR="00E26A6E" w:rsidRPr="00771B7E" w:rsidRDefault="00E26A6E" w:rsidP="002E3DB0">
            <w:pPr>
              <w:jc w:val="center"/>
              <w:rPr>
                <w:rFonts w:ascii="Arial" w:hAnsi="Arial" w:cs="Arial"/>
                <w:b/>
                <w:bCs/>
                <w:color w:val="002060"/>
                <w:sz w:val="22"/>
                <w:szCs w:val="22"/>
              </w:rPr>
            </w:pPr>
            <w:r w:rsidRPr="00771B7E">
              <w:rPr>
                <w:rFonts w:ascii="Arial" w:hAnsi="Arial" w:cs="Arial"/>
                <w:b/>
                <w:bCs/>
                <w:color w:val="002060"/>
                <w:sz w:val="22"/>
                <w:szCs w:val="22"/>
                <w:highlight w:val="yellow"/>
              </w:rPr>
              <w:t>Nivel consolidación</w:t>
            </w:r>
          </w:p>
        </w:tc>
      </w:tr>
      <w:tr w:rsidR="00E26A6E" w:rsidRPr="00771B7E" w14:paraId="34D5ECBE" w14:textId="77777777" w:rsidTr="002E3DB0">
        <w:trPr>
          <w:trHeight w:val="191"/>
          <w:jc w:val="center"/>
        </w:trPr>
        <w:tc>
          <w:tcPr>
            <w:tcW w:w="4470" w:type="dxa"/>
            <w:shd w:val="clear" w:color="auto" w:fill="auto"/>
            <w:noWrap/>
            <w:vAlign w:val="center"/>
            <w:hideMark/>
          </w:tcPr>
          <w:p w14:paraId="5D76035E" w14:textId="77777777" w:rsidR="00E26A6E" w:rsidRPr="00771B7E" w:rsidRDefault="00E26A6E" w:rsidP="002E3DB0">
            <w:pPr>
              <w:rPr>
                <w:rFonts w:ascii="Arial" w:hAnsi="Arial" w:cs="Arial"/>
                <w:b/>
                <w:bCs/>
                <w:color w:val="000000"/>
                <w:sz w:val="22"/>
                <w:szCs w:val="22"/>
              </w:rPr>
            </w:pPr>
            <w:r w:rsidRPr="00771B7E">
              <w:rPr>
                <w:rFonts w:ascii="Arial" w:hAnsi="Arial" w:cs="Arial"/>
                <w:b/>
                <w:bCs/>
                <w:color w:val="000000"/>
                <w:sz w:val="22"/>
                <w:szCs w:val="22"/>
              </w:rPr>
              <w:t>Niveles Autodiagnóstico</w:t>
            </w:r>
          </w:p>
        </w:tc>
        <w:tc>
          <w:tcPr>
            <w:tcW w:w="2486" w:type="dxa"/>
            <w:shd w:val="clear" w:color="auto" w:fill="auto"/>
            <w:noWrap/>
            <w:vAlign w:val="center"/>
            <w:hideMark/>
          </w:tcPr>
          <w:p w14:paraId="136C17B3" w14:textId="77777777" w:rsidR="00E26A6E" w:rsidRPr="00771B7E" w:rsidRDefault="00E26A6E" w:rsidP="002E3DB0">
            <w:pPr>
              <w:rPr>
                <w:rFonts w:ascii="Arial" w:hAnsi="Arial" w:cs="Arial"/>
                <w:color w:val="000000"/>
                <w:sz w:val="22"/>
                <w:szCs w:val="22"/>
              </w:rPr>
            </w:pPr>
          </w:p>
        </w:tc>
      </w:tr>
      <w:tr w:rsidR="00E26A6E" w:rsidRPr="00771B7E" w14:paraId="4E916989" w14:textId="77777777" w:rsidTr="002E3DB0">
        <w:trPr>
          <w:trHeight w:val="165"/>
          <w:jc w:val="center"/>
        </w:trPr>
        <w:tc>
          <w:tcPr>
            <w:tcW w:w="4470" w:type="dxa"/>
            <w:shd w:val="clear" w:color="auto" w:fill="auto"/>
            <w:noWrap/>
            <w:vAlign w:val="center"/>
            <w:hideMark/>
          </w:tcPr>
          <w:p w14:paraId="0DE81024" w14:textId="77777777" w:rsidR="00E26A6E" w:rsidRPr="00771B7E" w:rsidRDefault="00E26A6E" w:rsidP="002E3DB0">
            <w:pPr>
              <w:rPr>
                <w:rFonts w:ascii="Arial" w:hAnsi="Arial" w:cs="Arial"/>
                <w:color w:val="000000"/>
                <w:sz w:val="22"/>
                <w:szCs w:val="22"/>
              </w:rPr>
            </w:pPr>
            <w:r w:rsidRPr="00771B7E">
              <w:rPr>
                <w:rFonts w:ascii="Arial" w:hAnsi="Arial" w:cs="Arial"/>
                <w:b/>
                <w:bCs/>
                <w:color w:val="000000"/>
                <w:sz w:val="22"/>
                <w:szCs w:val="22"/>
              </w:rPr>
              <w:t>0-50:</w:t>
            </w:r>
            <w:r w:rsidRPr="00771B7E">
              <w:rPr>
                <w:rFonts w:ascii="Arial" w:hAnsi="Arial" w:cs="Arial"/>
                <w:color w:val="000000"/>
                <w:sz w:val="22"/>
                <w:szCs w:val="22"/>
              </w:rPr>
              <w:t xml:space="preserve"> Nivel Inicial</w:t>
            </w:r>
          </w:p>
        </w:tc>
        <w:tc>
          <w:tcPr>
            <w:tcW w:w="2486" w:type="dxa"/>
            <w:shd w:val="clear" w:color="auto" w:fill="FF0000"/>
            <w:noWrap/>
            <w:vAlign w:val="center"/>
            <w:hideMark/>
          </w:tcPr>
          <w:p w14:paraId="1ABFE3C3" w14:textId="77777777" w:rsidR="00E26A6E" w:rsidRPr="00771B7E" w:rsidRDefault="00E26A6E" w:rsidP="002E3DB0">
            <w:pPr>
              <w:rPr>
                <w:rFonts w:ascii="Arial" w:hAnsi="Arial" w:cs="Arial"/>
                <w:color w:val="000000"/>
                <w:sz w:val="22"/>
                <w:szCs w:val="22"/>
              </w:rPr>
            </w:pPr>
          </w:p>
        </w:tc>
      </w:tr>
      <w:tr w:rsidR="00E26A6E" w:rsidRPr="00771B7E" w14:paraId="2E1C7503" w14:textId="77777777" w:rsidTr="002E3DB0">
        <w:trPr>
          <w:trHeight w:val="165"/>
          <w:jc w:val="center"/>
        </w:trPr>
        <w:tc>
          <w:tcPr>
            <w:tcW w:w="4470" w:type="dxa"/>
            <w:shd w:val="clear" w:color="auto" w:fill="auto"/>
            <w:noWrap/>
            <w:vAlign w:val="center"/>
            <w:hideMark/>
          </w:tcPr>
          <w:p w14:paraId="3B8A815D" w14:textId="77777777" w:rsidR="00E26A6E" w:rsidRPr="00771B7E" w:rsidRDefault="00E26A6E" w:rsidP="002E3DB0">
            <w:pPr>
              <w:rPr>
                <w:rFonts w:ascii="Arial" w:hAnsi="Arial" w:cs="Arial"/>
                <w:color w:val="000000"/>
                <w:sz w:val="22"/>
                <w:szCs w:val="22"/>
              </w:rPr>
            </w:pPr>
            <w:r w:rsidRPr="00771B7E">
              <w:rPr>
                <w:rFonts w:ascii="Arial" w:hAnsi="Arial" w:cs="Arial"/>
                <w:b/>
                <w:bCs/>
                <w:color w:val="000000"/>
                <w:sz w:val="22"/>
                <w:szCs w:val="22"/>
              </w:rPr>
              <w:t>51-80:</w:t>
            </w:r>
            <w:r w:rsidRPr="00771B7E">
              <w:rPr>
                <w:rFonts w:ascii="Arial" w:hAnsi="Arial" w:cs="Arial"/>
                <w:color w:val="000000"/>
                <w:sz w:val="22"/>
                <w:szCs w:val="22"/>
              </w:rPr>
              <w:t xml:space="preserve"> Nivel consolidación</w:t>
            </w:r>
          </w:p>
        </w:tc>
        <w:tc>
          <w:tcPr>
            <w:tcW w:w="2486" w:type="dxa"/>
            <w:shd w:val="clear" w:color="auto" w:fill="FFFF00"/>
            <w:noWrap/>
            <w:vAlign w:val="center"/>
            <w:hideMark/>
          </w:tcPr>
          <w:p w14:paraId="4B91A965" w14:textId="77777777" w:rsidR="00E26A6E" w:rsidRPr="00771B7E" w:rsidRDefault="00E26A6E" w:rsidP="002E3DB0">
            <w:pPr>
              <w:rPr>
                <w:rFonts w:ascii="Arial" w:hAnsi="Arial" w:cs="Arial"/>
                <w:color w:val="000000"/>
                <w:sz w:val="22"/>
                <w:szCs w:val="22"/>
              </w:rPr>
            </w:pPr>
          </w:p>
        </w:tc>
      </w:tr>
      <w:tr w:rsidR="00E26A6E" w:rsidRPr="00771B7E" w14:paraId="0586D7FB" w14:textId="77777777" w:rsidTr="002E3DB0">
        <w:trPr>
          <w:trHeight w:val="165"/>
          <w:jc w:val="center"/>
        </w:trPr>
        <w:tc>
          <w:tcPr>
            <w:tcW w:w="4470" w:type="dxa"/>
            <w:shd w:val="clear" w:color="auto" w:fill="auto"/>
            <w:noWrap/>
            <w:vAlign w:val="center"/>
            <w:hideMark/>
          </w:tcPr>
          <w:p w14:paraId="14C1CE75" w14:textId="77777777" w:rsidR="00E26A6E" w:rsidRPr="00771B7E" w:rsidRDefault="00E26A6E" w:rsidP="002E3DB0">
            <w:pPr>
              <w:rPr>
                <w:rFonts w:ascii="Arial" w:hAnsi="Arial" w:cs="Arial"/>
                <w:color w:val="000000"/>
                <w:sz w:val="22"/>
                <w:szCs w:val="22"/>
              </w:rPr>
            </w:pPr>
            <w:r w:rsidRPr="00771B7E">
              <w:rPr>
                <w:rFonts w:ascii="Arial" w:hAnsi="Arial" w:cs="Arial"/>
                <w:b/>
                <w:bCs/>
                <w:color w:val="000000"/>
                <w:sz w:val="22"/>
                <w:szCs w:val="22"/>
              </w:rPr>
              <w:t>81-100:</w:t>
            </w:r>
            <w:r w:rsidRPr="00771B7E">
              <w:rPr>
                <w:rFonts w:ascii="Arial" w:hAnsi="Arial" w:cs="Arial"/>
                <w:color w:val="000000"/>
                <w:sz w:val="22"/>
                <w:szCs w:val="22"/>
              </w:rPr>
              <w:t xml:space="preserve"> Nivel perfeccionamiento</w:t>
            </w:r>
          </w:p>
        </w:tc>
        <w:tc>
          <w:tcPr>
            <w:tcW w:w="2486" w:type="dxa"/>
            <w:shd w:val="clear" w:color="auto" w:fill="92D050"/>
            <w:noWrap/>
            <w:vAlign w:val="center"/>
            <w:hideMark/>
          </w:tcPr>
          <w:p w14:paraId="6A1A143A" w14:textId="77777777" w:rsidR="00E26A6E" w:rsidRPr="00771B7E" w:rsidRDefault="00E26A6E" w:rsidP="002E3DB0">
            <w:pPr>
              <w:rPr>
                <w:rFonts w:ascii="Arial" w:hAnsi="Arial" w:cs="Arial"/>
                <w:color w:val="000000"/>
                <w:sz w:val="22"/>
                <w:szCs w:val="22"/>
              </w:rPr>
            </w:pPr>
          </w:p>
        </w:tc>
      </w:tr>
    </w:tbl>
    <w:p w14:paraId="211862AC" w14:textId="77777777" w:rsidR="00E26A6E" w:rsidRPr="00771B7E" w:rsidRDefault="00E26A6E" w:rsidP="00E26A6E">
      <w:pPr>
        <w:jc w:val="center"/>
        <w:rPr>
          <w:rFonts w:ascii="Arial" w:hAnsi="Arial" w:cs="Arial"/>
          <w:b/>
          <w:sz w:val="22"/>
          <w:szCs w:val="22"/>
          <w:lang w:val="es-ES"/>
        </w:rPr>
      </w:pPr>
    </w:p>
    <w:p w14:paraId="4C2DC0A8" w14:textId="77777777" w:rsidR="00E26A6E" w:rsidRPr="00771B7E" w:rsidRDefault="00E26A6E" w:rsidP="00E26A6E">
      <w:pPr>
        <w:rPr>
          <w:rFonts w:ascii="Arial" w:hAnsi="Arial" w:cs="Arial"/>
          <w:b/>
          <w:sz w:val="22"/>
          <w:szCs w:val="22"/>
        </w:rPr>
      </w:pPr>
    </w:p>
    <w:p w14:paraId="3F8E1396" w14:textId="77777777" w:rsidR="00E26A6E" w:rsidRPr="00771B7E" w:rsidRDefault="00E26A6E" w:rsidP="00E26A6E">
      <w:pPr>
        <w:rPr>
          <w:rFonts w:ascii="Arial" w:hAnsi="Arial" w:cs="Arial"/>
          <w:b/>
          <w:sz w:val="22"/>
          <w:szCs w:val="22"/>
        </w:rPr>
      </w:pPr>
      <w:r w:rsidRPr="00771B7E">
        <w:rPr>
          <w:rFonts w:ascii="Arial" w:hAnsi="Arial" w:cs="Arial"/>
          <w:b/>
          <w:sz w:val="22"/>
          <w:szCs w:val="22"/>
        </w:rPr>
        <w:t xml:space="preserve">Grafica No 1  Resultados de la calificación por etapas </w:t>
      </w:r>
    </w:p>
    <w:p w14:paraId="489236AF" w14:textId="77777777" w:rsidR="00E26A6E" w:rsidRPr="00771B7E" w:rsidRDefault="00E26A6E" w:rsidP="00E26A6E">
      <w:pPr>
        <w:rPr>
          <w:rFonts w:ascii="Arial" w:hAnsi="Arial" w:cs="Arial"/>
          <w:b/>
          <w:sz w:val="22"/>
          <w:szCs w:val="22"/>
        </w:rPr>
      </w:pPr>
      <w:r w:rsidRPr="00771B7E">
        <w:rPr>
          <w:rFonts w:ascii="Arial" w:hAnsi="Arial" w:cs="Arial"/>
          <w:b/>
          <w:noProof/>
          <w:sz w:val="22"/>
          <w:szCs w:val="22"/>
          <w:lang w:val="es-CO"/>
        </w:rPr>
        <w:drawing>
          <wp:inline distT="0" distB="0" distL="0" distR="0" wp14:anchorId="1E465908" wp14:editId="4F6CC722">
            <wp:extent cx="5867400" cy="219759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4858" cy="2226602"/>
                    </a:xfrm>
                    <a:prstGeom prst="rect">
                      <a:avLst/>
                    </a:prstGeom>
                    <a:noFill/>
                  </pic:spPr>
                </pic:pic>
              </a:graphicData>
            </a:graphic>
          </wp:inline>
        </w:drawing>
      </w:r>
    </w:p>
    <w:p w14:paraId="2C48C592"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t>Como se muestra en la gráfica 1  la etapa de Preparación para la rendición de cuentas tiene un puntaje  de 84.1, siendo el más alto  entre las cinco etapas, mientras que la etapa de Seguimiento y evaluación de la implementación de la estrategia de rendición de cuentas  tiene el puntaje más bajo con 57.7. Sobre esta última etapa  la entidad  encaminará sus esfuerzos para lograr una mejor puntuación.</w:t>
      </w:r>
    </w:p>
    <w:p w14:paraId="7ED03E63" w14:textId="77777777" w:rsidR="00E26A6E" w:rsidRPr="00771B7E" w:rsidRDefault="00E26A6E" w:rsidP="00E26A6E">
      <w:pPr>
        <w:jc w:val="both"/>
        <w:rPr>
          <w:rFonts w:ascii="Arial" w:hAnsi="Arial" w:cs="Arial"/>
          <w:b/>
          <w:sz w:val="22"/>
          <w:szCs w:val="22"/>
        </w:rPr>
      </w:pPr>
    </w:p>
    <w:p w14:paraId="5056DA3D" w14:textId="77777777" w:rsidR="00E26A6E" w:rsidRPr="00771B7E" w:rsidRDefault="00E26A6E" w:rsidP="00E26A6E">
      <w:pPr>
        <w:jc w:val="both"/>
        <w:rPr>
          <w:rFonts w:ascii="Arial" w:hAnsi="Arial" w:cs="Arial"/>
          <w:b/>
          <w:sz w:val="22"/>
          <w:szCs w:val="22"/>
        </w:rPr>
      </w:pPr>
    </w:p>
    <w:p w14:paraId="2EFF2DC1" w14:textId="0B2CEAEC" w:rsidR="00E26A6E" w:rsidRPr="00771B7E" w:rsidRDefault="00E26A6E" w:rsidP="00F67007">
      <w:pPr>
        <w:pStyle w:val="Prrafodelista"/>
        <w:numPr>
          <w:ilvl w:val="2"/>
          <w:numId w:val="14"/>
        </w:numPr>
        <w:spacing w:after="160" w:line="259" w:lineRule="auto"/>
        <w:jc w:val="both"/>
        <w:rPr>
          <w:rFonts w:ascii="Arial" w:hAnsi="Arial" w:cs="Arial"/>
          <w:b/>
        </w:rPr>
      </w:pPr>
      <w:r w:rsidRPr="00771B7E">
        <w:rPr>
          <w:rFonts w:ascii="Arial" w:hAnsi="Arial" w:cs="Arial"/>
          <w:b/>
        </w:rPr>
        <w:t xml:space="preserve">Resultados por etapa y categoría  </w:t>
      </w:r>
    </w:p>
    <w:p w14:paraId="0E8B058E" w14:textId="77777777" w:rsidR="00E26A6E" w:rsidRPr="00771B7E" w:rsidRDefault="00E26A6E" w:rsidP="00E26A6E">
      <w:pPr>
        <w:jc w:val="both"/>
        <w:rPr>
          <w:rFonts w:ascii="Arial" w:hAnsi="Arial" w:cs="Arial"/>
          <w:b/>
          <w:sz w:val="22"/>
          <w:szCs w:val="22"/>
        </w:rPr>
      </w:pPr>
    </w:p>
    <w:p w14:paraId="0660D428" w14:textId="77777777" w:rsidR="00E26A6E" w:rsidRPr="00771B7E" w:rsidRDefault="00E26A6E" w:rsidP="00E26A6E">
      <w:pPr>
        <w:jc w:val="both"/>
        <w:rPr>
          <w:rFonts w:ascii="Arial" w:hAnsi="Arial" w:cs="Arial"/>
          <w:b/>
          <w:bCs/>
          <w:color w:val="000000"/>
          <w:sz w:val="22"/>
          <w:szCs w:val="22"/>
        </w:rPr>
      </w:pPr>
      <w:r w:rsidRPr="00771B7E">
        <w:rPr>
          <w:rFonts w:ascii="Arial" w:hAnsi="Arial" w:cs="Arial"/>
          <w:b/>
          <w:bCs/>
          <w:color w:val="000000"/>
          <w:sz w:val="22"/>
          <w:szCs w:val="22"/>
        </w:rPr>
        <w:t>Grafica 2 etapa  de aprestamiento institucional para promover la Rendición de Cuentas</w:t>
      </w:r>
    </w:p>
    <w:p w14:paraId="4BB7C584" w14:textId="77777777" w:rsidR="00E26A6E" w:rsidRPr="00771B7E" w:rsidRDefault="00E26A6E" w:rsidP="00E26A6E">
      <w:pPr>
        <w:jc w:val="both"/>
        <w:rPr>
          <w:rFonts w:ascii="Arial" w:hAnsi="Arial" w:cs="Arial"/>
          <w:b/>
          <w:sz w:val="22"/>
          <w:szCs w:val="22"/>
        </w:rPr>
      </w:pPr>
    </w:p>
    <w:p w14:paraId="642141A0" w14:textId="77777777" w:rsidR="00E26A6E" w:rsidRPr="00771B7E" w:rsidRDefault="00E26A6E" w:rsidP="00E26A6E">
      <w:pPr>
        <w:jc w:val="both"/>
        <w:rPr>
          <w:rFonts w:ascii="Arial" w:hAnsi="Arial" w:cs="Arial"/>
          <w:sz w:val="22"/>
          <w:szCs w:val="22"/>
        </w:rPr>
      </w:pPr>
      <w:r w:rsidRPr="00771B7E">
        <w:rPr>
          <w:rFonts w:ascii="Arial" w:hAnsi="Arial" w:cs="Arial"/>
          <w:noProof/>
          <w:sz w:val="22"/>
          <w:szCs w:val="22"/>
          <w:lang w:val="es-CO"/>
        </w:rPr>
        <w:drawing>
          <wp:inline distT="0" distB="0" distL="0" distR="0" wp14:anchorId="1E64ABEF" wp14:editId="1724C219">
            <wp:extent cx="5162550" cy="22555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9474" cy="2271671"/>
                    </a:xfrm>
                    <a:prstGeom prst="rect">
                      <a:avLst/>
                    </a:prstGeom>
                    <a:noFill/>
                  </pic:spPr>
                </pic:pic>
              </a:graphicData>
            </a:graphic>
          </wp:inline>
        </w:drawing>
      </w:r>
    </w:p>
    <w:p w14:paraId="6ADF8DCF"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t xml:space="preserve">En la gráfica No 2,  la categoría de Análisis de las debilidades y fortalezas para la rendición de cuentas  se encuentra en un nivel inicial, puesto que la entidad en su estrategia de rendición de </w:t>
      </w:r>
      <w:r w:rsidRPr="00771B7E">
        <w:rPr>
          <w:rFonts w:ascii="Arial" w:hAnsi="Arial" w:cs="Arial"/>
          <w:sz w:val="22"/>
          <w:szCs w:val="22"/>
        </w:rPr>
        <w:lastRenderedPageBreak/>
        <w:t xml:space="preserve">cuentas  no  cuenta con un  análisis del entorno social, económico, político, ambiental y cultural para  identificar como esto puede afectar el desarrollo de la rendición de cuentas. Mientras que la categoría de identificación de espacios de articulación y cooperación para la rendición de cuentas se encuentra en un nivel de perfeccionamiento. </w:t>
      </w:r>
    </w:p>
    <w:p w14:paraId="1D50339D" w14:textId="77777777" w:rsidR="00E26A6E" w:rsidRPr="00771B7E" w:rsidRDefault="00E26A6E" w:rsidP="00E26A6E">
      <w:pPr>
        <w:jc w:val="both"/>
        <w:rPr>
          <w:rFonts w:ascii="Arial" w:hAnsi="Arial" w:cs="Arial"/>
          <w:sz w:val="22"/>
          <w:szCs w:val="22"/>
        </w:rPr>
      </w:pPr>
    </w:p>
    <w:p w14:paraId="78632016" w14:textId="77777777" w:rsidR="00E26A6E" w:rsidRPr="00771B7E" w:rsidRDefault="00E26A6E" w:rsidP="00E26A6E">
      <w:pPr>
        <w:jc w:val="both"/>
        <w:rPr>
          <w:rFonts w:ascii="Arial" w:hAnsi="Arial" w:cs="Arial"/>
          <w:sz w:val="22"/>
          <w:szCs w:val="22"/>
        </w:rPr>
      </w:pPr>
    </w:p>
    <w:p w14:paraId="28D8D9CA" w14:textId="77777777" w:rsidR="00E26A6E" w:rsidRPr="00771B7E" w:rsidRDefault="00E26A6E" w:rsidP="00E26A6E">
      <w:pPr>
        <w:jc w:val="both"/>
        <w:rPr>
          <w:rFonts w:ascii="Arial" w:hAnsi="Arial" w:cs="Arial"/>
          <w:b/>
          <w:bCs/>
          <w:color w:val="000000"/>
          <w:sz w:val="22"/>
          <w:szCs w:val="22"/>
        </w:rPr>
      </w:pPr>
      <w:r w:rsidRPr="00771B7E">
        <w:rPr>
          <w:rFonts w:ascii="Arial" w:hAnsi="Arial" w:cs="Arial"/>
          <w:b/>
          <w:bCs/>
          <w:color w:val="000000"/>
          <w:sz w:val="22"/>
          <w:szCs w:val="22"/>
        </w:rPr>
        <w:t>Grafica 3 etapa  de Diseño de la Estrategia de Rendición de Cuentas</w:t>
      </w:r>
    </w:p>
    <w:p w14:paraId="2227E65D" w14:textId="77777777" w:rsidR="00E26A6E" w:rsidRPr="00771B7E" w:rsidRDefault="00E26A6E" w:rsidP="00E26A6E">
      <w:pPr>
        <w:jc w:val="both"/>
        <w:rPr>
          <w:rFonts w:ascii="Arial" w:hAnsi="Arial" w:cs="Arial"/>
          <w:sz w:val="22"/>
          <w:szCs w:val="22"/>
        </w:rPr>
      </w:pPr>
      <w:r w:rsidRPr="00771B7E">
        <w:rPr>
          <w:rFonts w:ascii="Arial" w:hAnsi="Arial" w:cs="Arial"/>
          <w:noProof/>
          <w:sz w:val="22"/>
          <w:szCs w:val="22"/>
          <w:lang w:val="es-CO"/>
        </w:rPr>
        <w:drawing>
          <wp:inline distT="0" distB="0" distL="0" distR="0" wp14:anchorId="7836FD7D" wp14:editId="70A79E64">
            <wp:extent cx="5741719" cy="25044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492" cy="2513065"/>
                    </a:xfrm>
                    <a:prstGeom prst="rect">
                      <a:avLst/>
                    </a:prstGeom>
                    <a:noFill/>
                  </pic:spPr>
                </pic:pic>
              </a:graphicData>
            </a:graphic>
          </wp:inline>
        </w:drawing>
      </w:r>
    </w:p>
    <w:p w14:paraId="6FBD384D"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t xml:space="preserve">Como se observa  en la gráfica No 3, se muestra la calificación de la categoría de Definición de la estrategia para implementar el ejercicio de rendición de cuentas, la cual se encuentra en un nivel de consolidación debido a que en la estrategia de rendición de cuentas de la entidad, no se evidencia el presupuesto  que se asocia al proceso ni la colaboración de  los grupos de interés en  la  elaboración de la estrategia. La categoría de identificación de los espacios de dialogo en los que la entidad rendirá cuentas tiene un nivel de perfeccionamiento puesto que en la estrategia se definen los espacios  de participación que realizará la entidad. </w:t>
      </w:r>
    </w:p>
    <w:p w14:paraId="4925DCDB" w14:textId="77777777" w:rsidR="00E26A6E" w:rsidRPr="00771B7E" w:rsidRDefault="00E26A6E" w:rsidP="00E26A6E">
      <w:pPr>
        <w:jc w:val="both"/>
        <w:rPr>
          <w:rFonts w:ascii="Arial" w:hAnsi="Arial" w:cs="Arial"/>
          <w:sz w:val="22"/>
          <w:szCs w:val="22"/>
        </w:rPr>
      </w:pPr>
    </w:p>
    <w:p w14:paraId="16DB5BF2" w14:textId="77777777" w:rsidR="00E26A6E" w:rsidRPr="00771B7E" w:rsidRDefault="00E26A6E" w:rsidP="00E26A6E">
      <w:pPr>
        <w:jc w:val="both"/>
        <w:rPr>
          <w:rFonts w:ascii="Arial" w:hAnsi="Arial" w:cs="Arial"/>
          <w:sz w:val="22"/>
          <w:szCs w:val="22"/>
        </w:rPr>
      </w:pPr>
    </w:p>
    <w:p w14:paraId="4C969334" w14:textId="77777777" w:rsidR="00E26A6E" w:rsidRPr="00771B7E" w:rsidRDefault="00E26A6E" w:rsidP="00E26A6E">
      <w:pPr>
        <w:jc w:val="both"/>
        <w:rPr>
          <w:rFonts w:ascii="Arial" w:hAnsi="Arial" w:cs="Arial"/>
          <w:b/>
          <w:bCs/>
          <w:color w:val="000000"/>
          <w:sz w:val="22"/>
          <w:szCs w:val="22"/>
        </w:rPr>
      </w:pPr>
      <w:r w:rsidRPr="00771B7E">
        <w:rPr>
          <w:rFonts w:ascii="Arial" w:hAnsi="Arial" w:cs="Arial"/>
          <w:b/>
          <w:bCs/>
          <w:color w:val="000000"/>
          <w:sz w:val="22"/>
          <w:szCs w:val="22"/>
        </w:rPr>
        <w:t>Grafica 4 etapa de Preparación para la rendición de cuentas</w:t>
      </w:r>
    </w:p>
    <w:p w14:paraId="4799FCF8" w14:textId="77777777" w:rsidR="00E26A6E" w:rsidRPr="00771B7E" w:rsidRDefault="00E26A6E" w:rsidP="00E26A6E">
      <w:pPr>
        <w:jc w:val="both"/>
        <w:rPr>
          <w:rFonts w:ascii="Arial" w:hAnsi="Arial" w:cs="Arial"/>
          <w:b/>
          <w:bCs/>
          <w:color w:val="000000"/>
          <w:sz w:val="22"/>
          <w:szCs w:val="22"/>
        </w:rPr>
      </w:pPr>
      <w:r w:rsidRPr="00771B7E">
        <w:rPr>
          <w:rFonts w:ascii="Arial" w:hAnsi="Arial" w:cs="Arial"/>
          <w:b/>
          <w:bCs/>
          <w:noProof/>
          <w:color w:val="000000"/>
          <w:sz w:val="22"/>
          <w:szCs w:val="22"/>
          <w:lang w:val="es-CO"/>
        </w:rPr>
        <w:lastRenderedPageBreak/>
        <w:drawing>
          <wp:inline distT="0" distB="0" distL="0" distR="0" wp14:anchorId="69745770" wp14:editId="2F4B604B">
            <wp:extent cx="5556324" cy="236601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7179" cy="2374891"/>
                    </a:xfrm>
                    <a:prstGeom prst="rect">
                      <a:avLst/>
                    </a:prstGeom>
                    <a:noFill/>
                  </pic:spPr>
                </pic:pic>
              </a:graphicData>
            </a:graphic>
          </wp:inline>
        </w:drawing>
      </w:r>
    </w:p>
    <w:p w14:paraId="798A9014"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t xml:space="preserve">En la gráfica No 4 , se muestra que las categorías de Publicación de la información a través de los diferentes canales de comunicación y la convocatoria a los ciudadanos, y grupos de interés para participar en los espacios de dialogo, se encuentran en un nivel de consolidación, teniendo en cuenta que  la entidad realiza la difusión masiva de los informes de rendición de cuentas en espacios diferentes a medios impresos, emisoras locales o espacios televisivos  y  con los grupos de interés  no se han generado acciones de capacitación que fortalezcan los espacios de dialogo.  </w:t>
      </w:r>
    </w:p>
    <w:p w14:paraId="53C6553D"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t>Por otro lado, las categorías de generación y  análisis de la información para el dialogo  en la rendición de cuentas en lenguaje claro y la preparación de los espacios de dialogo se encuentran en un nivel de perfeccionamiento.</w:t>
      </w:r>
    </w:p>
    <w:p w14:paraId="0DD2EFA5" w14:textId="77777777" w:rsidR="00E26A6E" w:rsidRPr="00771B7E" w:rsidRDefault="00E26A6E" w:rsidP="00E26A6E">
      <w:pPr>
        <w:jc w:val="both"/>
        <w:rPr>
          <w:rFonts w:ascii="Arial" w:hAnsi="Arial" w:cs="Arial"/>
          <w:sz w:val="22"/>
          <w:szCs w:val="22"/>
        </w:rPr>
      </w:pPr>
    </w:p>
    <w:p w14:paraId="704045F6" w14:textId="77777777" w:rsidR="00E26A6E" w:rsidRPr="00771B7E" w:rsidRDefault="00E26A6E" w:rsidP="00E26A6E">
      <w:pPr>
        <w:jc w:val="both"/>
        <w:rPr>
          <w:rFonts w:ascii="Arial" w:hAnsi="Arial" w:cs="Arial"/>
          <w:sz w:val="22"/>
          <w:szCs w:val="22"/>
        </w:rPr>
      </w:pPr>
    </w:p>
    <w:p w14:paraId="7AC0D64E" w14:textId="77777777" w:rsidR="00E26A6E" w:rsidRPr="00771B7E" w:rsidRDefault="00E26A6E" w:rsidP="00E26A6E">
      <w:pPr>
        <w:jc w:val="both"/>
        <w:rPr>
          <w:rFonts w:ascii="Arial" w:hAnsi="Arial" w:cs="Arial"/>
          <w:b/>
          <w:bCs/>
          <w:color w:val="000000"/>
          <w:sz w:val="22"/>
          <w:szCs w:val="22"/>
        </w:rPr>
      </w:pPr>
      <w:r w:rsidRPr="00771B7E">
        <w:rPr>
          <w:rFonts w:ascii="Arial" w:hAnsi="Arial" w:cs="Arial"/>
          <w:b/>
          <w:bCs/>
          <w:color w:val="000000"/>
          <w:sz w:val="22"/>
          <w:szCs w:val="22"/>
        </w:rPr>
        <w:t>Grafica 5 etapa de Ejecución de la estrategia de rendición de cuentas</w:t>
      </w:r>
    </w:p>
    <w:p w14:paraId="52EA63AC" w14:textId="77777777" w:rsidR="00E26A6E" w:rsidRPr="00771B7E" w:rsidRDefault="00E26A6E" w:rsidP="00E26A6E">
      <w:pPr>
        <w:jc w:val="both"/>
        <w:rPr>
          <w:rFonts w:ascii="Arial" w:hAnsi="Arial" w:cs="Arial"/>
          <w:sz w:val="22"/>
          <w:szCs w:val="22"/>
        </w:rPr>
      </w:pPr>
    </w:p>
    <w:p w14:paraId="04FEA8B6" w14:textId="77777777" w:rsidR="00E26A6E" w:rsidRPr="00771B7E" w:rsidRDefault="00E26A6E" w:rsidP="00E26A6E">
      <w:pPr>
        <w:jc w:val="both"/>
        <w:rPr>
          <w:rFonts w:ascii="Arial" w:hAnsi="Arial" w:cs="Arial"/>
          <w:sz w:val="22"/>
          <w:szCs w:val="22"/>
        </w:rPr>
      </w:pPr>
      <w:r w:rsidRPr="00771B7E">
        <w:rPr>
          <w:rFonts w:ascii="Arial" w:hAnsi="Arial" w:cs="Arial"/>
          <w:noProof/>
          <w:sz w:val="22"/>
          <w:szCs w:val="22"/>
          <w:lang w:val="es-CO"/>
        </w:rPr>
        <w:drawing>
          <wp:inline distT="0" distB="0" distL="0" distR="0" wp14:anchorId="79B9F9B4" wp14:editId="6EAD7423">
            <wp:extent cx="5546245" cy="24847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4060" cy="2488256"/>
                    </a:xfrm>
                    <a:prstGeom prst="rect">
                      <a:avLst/>
                    </a:prstGeom>
                    <a:noFill/>
                  </pic:spPr>
                </pic:pic>
              </a:graphicData>
            </a:graphic>
          </wp:inline>
        </w:drawing>
      </w:r>
    </w:p>
    <w:p w14:paraId="389AFED2"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lastRenderedPageBreak/>
        <w:t>En la gráfica No 5 la categoría de realizar espacios de dialogo  de rendición de cuentas se encuentra en un nivel de consolidación, debido a que la entidad   no cuenta con una metodología  específica para los espacios de rendición de cuentas que realiza,  no obstante, en estos espacios la  intervención de los ciudadanos y grupos de interés se hace en los ejercicios planteados desde el IDEP.</w:t>
      </w:r>
    </w:p>
    <w:p w14:paraId="2D2E9AAD" w14:textId="77777777" w:rsidR="00E26A6E" w:rsidRPr="00771B7E" w:rsidRDefault="00E26A6E" w:rsidP="00E26A6E">
      <w:pPr>
        <w:jc w:val="both"/>
        <w:rPr>
          <w:rFonts w:ascii="Arial" w:hAnsi="Arial" w:cs="Arial"/>
          <w:sz w:val="22"/>
          <w:szCs w:val="22"/>
        </w:rPr>
      </w:pPr>
    </w:p>
    <w:p w14:paraId="6FF0B743" w14:textId="77777777" w:rsidR="00E26A6E" w:rsidRPr="00771B7E" w:rsidRDefault="00E26A6E" w:rsidP="00E26A6E">
      <w:pPr>
        <w:jc w:val="both"/>
        <w:rPr>
          <w:rFonts w:ascii="Arial" w:hAnsi="Arial" w:cs="Arial"/>
          <w:sz w:val="22"/>
          <w:szCs w:val="22"/>
        </w:rPr>
      </w:pPr>
      <w:r w:rsidRPr="00771B7E">
        <w:rPr>
          <w:rFonts w:ascii="Arial" w:hAnsi="Arial" w:cs="Arial"/>
          <w:b/>
          <w:bCs/>
          <w:color w:val="000000"/>
          <w:sz w:val="22"/>
          <w:szCs w:val="22"/>
        </w:rPr>
        <w:t xml:space="preserve">Grafica 6 etapa de Seguimiento  y evaluación de la implementación  de la estrategia de rendición de cuentas </w:t>
      </w:r>
    </w:p>
    <w:p w14:paraId="00B36C12" w14:textId="77777777" w:rsidR="00E26A6E" w:rsidRPr="00771B7E" w:rsidRDefault="00E26A6E" w:rsidP="00E26A6E">
      <w:pPr>
        <w:jc w:val="both"/>
        <w:rPr>
          <w:rFonts w:ascii="Arial" w:hAnsi="Arial" w:cs="Arial"/>
          <w:sz w:val="22"/>
          <w:szCs w:val="22"/>
        </w:rPr>
      </w:pPr>
      <w:r w:rsidRPr="00771B7E">
        <w:rPr>
          <w:rFonts w:ascii="Arial" w:hAnsi="Arial" w:cs="Arial"/>
          <w:noProof/>
          <w:sz w:val="22"/>
          <w:szCs w:val="22"/>
          <w:lang w:val="es-CO"/>
        </w:rPr>
        <w:drawing>
          <wp:inline distT="0" distB="0" distL="0" distR="0" wp14:anchorId="0F4D4566" wp14:editId="6F919EDD">
            <wp:extent cx="5038725" cy="225738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054" cy="2287099"/>
                    </a:xfrm>
                    <a:prstGeom prst="rect">
                      <a:avLst/>
                    </a:prstGeom>
                    <a:noFill/>
                  </pic:spPr>
                </pic:pic>
              </a:graphicData>
            </a:graphic>
          </wp:inline>
        </w:drawing>
      </w:r>
    </w:p>
    <w:p w14:paraId="7E45A336" w14:textId="77777777" w:rsidR="00E26A6E" w:rsidRDefault="00E26A6E" w:rsidP="00E26A6E">
      <w:pPr>
        <w:jc w:val="both"/>
        <w:rPr>
          <w:rFonts w:ascii="Arial" w:hAnsi="Arial" w:cs="Arial"/>
          <w:sz w:val="22"/>
          <w:szCs w:val="22"/>
        </w:rPr>
      </w:pPr>
      <w:r w:rsidRPr="00771B7E">
        <w:rPr>
          <w:rFonts w:ascii="Arial" w:hAnsi="Arial" w:cs="Arial"/>
          <w:sz w:val="22"/>
          <w:szCs w:val="22"/>
        </w:rPr>
        <w:t xml:space="preserve">Como se muestra en la gráfica 6, la calificación de la categoría de cuantificar el impacto de las acciones de rendición de cuentas para divulgarlos a la ciudadanía, se encuentra en un nivel de consolidación, teniendo en cuenta que las recomendaciones y observaciones de la ciudadanía en los ejercicios  realizados, no se plasman en el plan de mejoramiento institucional.   </w:t>
      </w:r>
    </w:p>
    <w:p w14:paraId="7C18AA0C" w14:textId="77777777" w:rsidR="00486888" w:rsidRPr="00771B7E" w:rsidRDefault="00486888" w:rsidP="00E26A6E">
      <w:pPr>
        <w:jc w:val="both"/>
        <w:rPr>
          <w:rFonts w:ascii="Arial" w:hAnsi="Arial" w:cs="Arial"/>
          <w:sz w:val="22"/>
          <w:szCs w:val="22"/>
        </w:rPr>
      </w:pPr>
    </w:p>
    <w:p w14:paraId="5093430E" w14:textId="77777777" w:rsidR="00E26A6E" w:rsidRPr="00771B7E" w:rsidRDefault="00E26A6E" w:rsidP="00E26A6E">
      <w:pPr>
        <w:jc w:val="both"/>
        <w:rPr>
          <w:rFonts w:ascii="Arial" w:hAnsi="Arial" w:cs="Arial"/>
          <w:sz w:val="22"/>
          <w:szCs w:val="22"/>
        </w:rPr>
      </w:pPr>
      <w:r w:rsidRPr="00771B7E">
        <w:rPr>
          <w:rFonts w:ascii="Arial" w:hAnsi="Arial" w:cs="Arial"/>
          <w:sz w:val="22"/>
          <w:szCs w:val="22"/>
        </w:rPr>
        <w:t xml:space="preserve">Teniendo en cuenta lo anterior, el Instituto incorporará en la estrategia de rendición de cuentas para la vigencia 2019 acciones  que  le permitan cumplir con los estándares  en el Modelo Integrado de Planeación y Gestión, atendiendo así a los requerimientos de la ciudadanía y  fortaleciendo la participación ciudadana. </w:t>
      </w:r>
    </w:p>
    <w:p w14:paraId="5645959B" w14:textId="119E6A09" w:rsidR="00FE3135" w:rsidRPr="00771B7E" w:rsidRDefault="00FE3135" w:rsidP="00F67007">
      <w:pPr>
        <w:pStyle w:val="Ttulo2"/>
        <w:numPr>
          <w:ilvl w:val="1"/>
          <w:numId w:val="3"/>
        </w:numPr>
        <w:rPr>
          <w:rFonts w:ascii="Arial" w:hAnsi="Arial" w:cs="Arial"/>
          <w:color w:val="auto"/>
          <w:sz w:val="22"/>
          <w:szCs w:val="22"/>
        </w:rPr>
      </w:pPr>
      <w:bookmarkStart w:id="5" w:name="_Toc535587294"/>
      <w:bookmarkStart w:id="6" w:name="_Toc1986552"/>
      <w:r w:rsidRPr="00771B7E">
        <w:rPr>
          <w:rFonts w:ascii="Arial" w:hAnsi="Arial" w:cs="Arial"/>
          <w:color w:val="auto"/>
          <w:sz w:val="22"/>
          <w:szCs w:val="22"/>
        </w:rPr>
        <w:t>Presupuesto asociado a las actividades que se implementarán en la entidad para llevar a cabo los ejercicios de rendición de cuentas.</w:t>
      </w:r>
      <w:bookmarkEnd w:id="5"/>
      <w:bookmarkEnd w:id="6"/>
      <w:r w:rsidRPr="00771B7E">
        <w:rPr>
          <w:rFonts w:ascii="Arial" w:hAnsi="Arial" w:cs="Arial"/>
          <w:color w:val="auto"/>
          <w:sz w:val="22"/>
          <w:szCs w:val="22"/>
        </w:rPr>
        <w:t xml:space="preserve"> </w:t>
      </w:r>
    </w:p>
    <w:p w14:paraId="46893E10" w14:textId="77777777" w:rsidR="00FE3135" w:rsidRPr="00771B7E" w:rsidRDefault="00FE3135" w:rsidP="00FE3135">
      <w:pPr>
        <w:rPr>
          <w:rFonts w:ascii="Arial" w:hAnsi="Arial" w:cs="Arial"/>
          <w:sz w:val="22"/>
          <w:szCs w:val="22"/>
        </w:rPr>
      </w:pPr>
    </w:p>
    <w:p w14:paraId="2D8A60CD" w14:textId="3CF62ECB" w:rsidR="008122D1" w:rsidRPr="00771B7E" w:rsidRDefault="00FE3135" w:rsidP="00204B4B">
      <w:pPr>
        <w:jc w:val="both"/>
        <w:rPr>
          <w:rFonts w:ascii="Arial" w:hAnsi="Arial" w:cs="Arial"/>
          <w:bCs/>
          <w:iCs/>
          <w:color w:val="333333"/>
          <w:sz w:val="22"/>
          <w:szCs w:val="22"/>
          <w:shd w:val="clear" w:color="auto" w:fill="FFFFFF"/>
        </w:rPr>
      </w:pPr>
      <w:r w:rsidRPr="00771B7E">
        <w:rPr>
          <w:rFonts w:ascii="Arial" w:hAnsi="Arial" w:cs="Arial"/>
          <w:sz w:val="22"/>
          <w:szCs w:val="22"/>
        </w:rPr>
        <w:t xml:space="preserve">De acuerdo con las actividades que se efectuarán en el marco de la Estrategia de Rendición de Cuentas, </w:t>
      </w:r>
      <w:r w:rsidR="00204B4B" w:rsidRPr="00771B7E">
        <w:rPr>
          <w:rFonts w:ascii="Arial" w:hAnsi="Arial" w:cs="Arial"/>
          <w:sz w:val="22"/>
          <w:szCs w:val="22"/>
        </w:rPr>
        <w:t>el presupuesto asignado a la entidad  para la vigencia</w:t>
      </w:r>
      <w:r w:rsidR="008122D1" w:rsidRPr="00771B7E">
        <w:rPr>
          <w:rFonts w:ascii="Arial" w:hAnsi="Arial" w:cs="Arial"/>
          <w:sz w:val="22"/>
          <w:szCs w:val="22"/>
        </w:rPr>
        <w:t>,</w:t>
      </w:r>
      <w:r w:rsidR="00204B4B" w:rsidRPr="00771B7E">
        <w:rPr>
          <w:rFonts w:ascii="Arial" w:hAnsi="Arial" w:cs="Arial"/>
          <w:sz w:val="22"/>
          <w:szCs w:val="22"/>
        </w:rPr>
        <w:t xml:space="preserve"> atiende la necesidad del proceso de rendición de cuentas. De igual manera,</w:t>
      </w:r>
      <w:r w:rsidR="00AB468A" w:rsidRPr="00771B7E">
        <w:rPr>
          <w:rFonts w:ascii="Arial" w:hAnsi="Arial" w:cs="Arial"/>
          <w:sz w:val="22"/>
          <w:szCs w:val="22"/>
        </w:rPr>
        <w:t xml:space="preserve"> el IDEP por pertenecer al Distrito, acoge las directrices del</w:t>
      </w:r>
      <w:r w:rsidR="009F51C1" w:rsidRPr="00771B7E">
        <w:rPr>
          <w:rFonts w:ascii="Arial" w:hAnsi="Arial" w:cs="Arial"/>
          <w:sz w:val="22"/>
          <w:szCs w:val="22"/>
        </w:rPr>
        <w:t xml:space="preserve"> </w:t>
      </w:r>
      <w:r w:rsidR="00AB468A" w:rsidRPr="00771B7E">
        <w:rPr>
          <w:rFonts w:ascii="Arial" w:hAnsi="Arial" w:cs="Arial"/>
          <w:sz w:val="22"/>
          <w:szCs w:val="22"/>
        </w:rPr>
        <w:t>A</w:t>
      </w:r>
      <w:r w:rsidR="009F51C1" w:rsidRPr="00771B7E">
        <w:rPr>
          <w:rFonts w:ascii="Arial" w:hAnsi="Arial" w:cs="Arial"/>
          <w:bCs/>
          <w:color w:val="333333"/>
          <w:sz w:val="22"/>
          <w:szCs w:val="22"/>
          <w:shd w:val="clear" w:color="auto" w:fill="FFFFFF"/>
        </w:rPr>
        <w:t xml:space="preserve">cuerdo  No </w:t>
      </w:r>
      <w:r w:rsidR="00AB468A" w:rsidRPr="00771B7E">
        <w:rPr>
          <w:rFonts w:ascii="Arial" w:hAnsi="Arial" w:cs="Arial"/>
          <w:bCs/>
          <w:color w:val="333333"/>
          <w:sz w:val="22"/>
          <w:szCs w:val="22"/>
          <w:shd w:val="clear" w:color="auto" w:fill="FFFFFF"/>
        </w:rPr>
        <w:t>719 de</w:t>
      </w:r>
      <w:r w:rsidR="009F51C1" w:rsidRPr="00771B7E">
        <w:rPr>
          <w:rFonts w:ascii="Arial" w:hAnsi="Arial" w:cs="Arial"/>
          <w:bCs/>
          <w:color w:val="333333"/>
          <w:sz w:val="22"/>
          <w:szCs w:val="22"/>
          <w:shd w:val="clear" w:color="auto" w:fill="FFFFFF"/>
        </w:rPr>
        <w:t xml:space="preserve"> 2018 del Concejo de </w:t>
      </w:r>
      <w:r w:rsidR="00204B4B" w:rsidRPr="00771B7E">
        <w:rPr>
          <w:rFonts w:ascii="Arial" w:hAnsi="Arial" w:cs="Arial"/>
          <w:bCs/>
          <w:color w:val="333333"/>
          <w:sz w:val="22"/>
          <w:szCs w:val="22"/>
          <w:shd w:val="clear" w:color="auto" w:fill="FFFFFF"/>
        </w:rPr>
        <w:t>Bogotá</w:t>
      </w:r>
      <w:r w:rsidR="00AB468A" w:rsidRPr="00771B7E">
        <w:rPr>
          <w:rFonts w:ascii="Arial" w:hAnsi="Arial" w:cs="Arial"/>
          <w:bCs/>
          <w:color w:val="333333"/>
          <w:sz w:val="22"/>
          <w:szCs w:val="22"/>
          <w:shd w:val="clear" w:color="auto" w:fill="FFFFFF"/>
        </w:rPr>
        <w:t xml:space="preserve">, en el cual se </w:t>
      </w:r>
      <w:r w:rsidR="008122D1" w:rsidRPr="00771B7E">
        <w:rPr>
          <w:rFonts w:ascii="Arial" w:hAnsi="Arial" w:cs="Arial"/>
          <w:bCs/>
          <w:color w:val="333333"/>
          <w:sz w:val="22"/>
          <w:szCs w:val="22"/>
          <w:shd w:val="clear" w:color="auto" w:fill="FFFFFF"/>
        </w:rPr>
        <w:t xml:space="preserve">establece </w:t>
      </w:r>
      <w:r w:rsidR="00AB468A" w:rsidRPr="00771B7E">
        <w:rPr>
          <w:rFonts w:ascii="Arial" w:hAnsi="Arial" w:cs="Arial"/>
          <w:bCs/>
          <w:iCs/>
          <w:color w:val="333333"/>
          <w:sz w:val="22"/>
          <w:szCs w:val="22"/>
          <w:shd w:val="clear" w:color="auto" w:fill="FFFFFF"/>
        </w:rPr>
        <w:t xml:space="preserve">los lineamientos </w:t>
      </w:r>
      <w:r w:rsidR="009F51C1" w:rsidRPr="00771B7E">
        <w:rPr>
          <w:rFonts w:ascii="Arial" w:hAnsi="Arial" w:cs="Arial"/>
          <w:bCs/>
          <w:iCs/>
          <w:color w:val="333333"/>
          <w:sz w:val="22"/>
          <w:szCs w:val="22"/>
          <w:shd w:val="clear" w:color="auto" w:fill="FFFFFF"/>
        </w:rPr>
        <w:t>generales para promover medidas de austeridad y transparencia del gasto público en la</w:t>
      </w:r>
      <w:r w:rsidR="00AB468A" w:rsidRPr="00771B7E">
        <w:rPr>
          <w:rFonts w:ascii="Arial" w:hAnsi="Arial" w:cs="Arial"/>
          <w:bCs/>
          <w:iCs/>
          <w:color w:val="333333"/>
          <w:sz w:val="22"/>
          <w:szCs w:val="22"/>
          <w:shd w:val="clear" w:color="auto" w:fill="FFFFFF"/>
        </w:rPr>
        <w:t xml:space="preserve">s entidades del orden distrital. </w:t>
      </w:r>
    </w:p>
    <w:p w14:paraId="53357432" w14:textId="77777777" w:rsidR="008122D1" w:rsidRDefault="008122D1" w:rsidP="00204B4B">
      <w:pPr>
        <w:jc w:val="both"/>
        <w:rPr>
          <w:rFonts w:ascii="Arial" w:hAnsi="Arial" w:cs="Arial"/>
          <w:bCs/>
          <w:iCs/>
          <w:color w:val="333333"/>
          <w:sz w:val="22"/>
          <w:szCs w:val="22"/>
          <w:shd w:val="clear" w:color="auto" w:fill="FFFFFF"/>
        </w:rPr>
      </w:pPr>
    </w:p>
    <w:p w14:paraId="5A3820D2" w14:textId="77777777" w:rsidR="00B00B64" w:rsidRPr="00771B7E" w:rsidRDefault="00B00B64" w:rsidP="00204B4B">
      <w:pPr>
        <w:jc w:val="both"/>
        <w:rPr>
          <w:rFonts w:ascii="Arial" w:hAnsi="Arial" w:cs="Arial"/>
          <w:bCs/>
          <w:iCs/>
          <w:color w:val="333333"/>
          <w:sz w:val="22"/>
          <w:szCs w:val="22"/>
          <w:shd w:val="clear" w:color="auto" w:fill="FFFFFF"/>
        </w:rPr>
      </w:pPr>
    </w:p>
    <w:p w14:paraId="75237BC7" w14:textId="30B07597" w:rsidR="009F51C1" w:rsidRPr="00771B7E" w:rsidRDefault="009F51C1" w:rsidP="00204B4B">
      <w:pPr>
        <w:jc w:val="both"/>
        <w:rPr>
          <w:rFonts w:ascii="Arial" w:hAnsi="Arial" w:cs="Arial"/>
          <w:bCs/>
          <w:iCs/>
          <w:color w:val="333333"/>
          <w:sz w:val="22"/>
          <w:szCs w:val="22"/>
          <w:shd w:val="clear" w:color="auto" w:fill="FFFFFF"/>
        </w:rPr>
      </w:pPr>
      <w:r w:rsidRPr="00771B7E">
        <w:rPr>
          <w:rFonts w:ascii="Arial" w:hAnsi="Arial" w:cs="Arial"/>
          <w:bCs/>
          <w:iCs/>
          <w:color w:val="333333"/>
          <w:sz w:val="22"/>
          <w:szCs w:val="22"/>
          <w:shd w:val="clear" w:color="auto" w:fill="FFFFFF"/>
        </w:rPr>
        <w:t xml:space="preserve"> </w:t>
      </w:r>
    </w:p>
    <w:p w14:paraId="47319D77" w14:textId="77777777" w:rsidR="00B37228" w:rsidRPr="00771B7E" w:rsidRDefault="00420038" w:rsidP="00F67007">
      <w:pPr>
        <w:pStyle w:val="Ttulo1"/>
        <w:numPr>
          <w:ilvl w:val="0"/>
          <w:numId w:val="3"/>
        </w:numPr>
        <w:spacing w:line="240" w:lineRule="auto"/>
        <w:jc w:val="left"/>
        <w:rPr>
          <w:color w:val="auto"/>
          <w:sz w:val="22"/>
          <w:szCs w:val="22"/>
        </w:rPr>
      </w:pPr>
      <w:bookmarkStart w:id="7" w:name="_Toc1986553"/>
      <w:r w:rsidRPr="00771B7E">
        <w:rPr>
          <w:color w:val="auto"/>
          <w:sz w:val="22"/>
          <w:szCs w:val="22"/>
        </w:rPr>
        <w:lastRenderedPageBreak/>
        <w:t>ELEMENTOS DE LA RENDICIÓN</w:t>
      </w:r>
      <w:r w:rsidR="00B37228" w:rsidRPr="00771B7E">
        <w:rPr>
          <w:color w:val="auto"/>
          <w:sz w:val="22"/>
          <w:szCs w:val="22"/>
        </w:rPr>
        <w:t xml:space="preserve"> DE CUENTAS</w:t>
      </w:r>
      <w:bookmarkEnd w:id="7"/>
    </w:p>
    <w:p w14:paraId="5572B599" w14:textId="77777777" w:rsidR="00375151" w:rsidRPr="00771B7E" w:rsidRDefault="00375151">
      <w:pPr>
        <w:pStyle w:val="Normal1"/>
      </w:pPr>
    </w:p>
    <w:p w14:paraId="2CAD807B" w14:textId="77777777" w:rsidR="00B37228" w:rsidRPr="00771B7E" w:rsidRDefault="00B37228">
      <w:pPr>
        <w:pStyle w:val="Prrafodelista"/>
        <w:spacing w:after="0" w:line="240" w:lineRule="auto"/>
        <w:ind w:left="0"/>
        <w:jc w:val="both"/>
        <w:rPr>
          <w:rFonts w:ascii="Arial" w:hAnsi="Arial" w:cs="Arial"/>
        </w:rPr>
      </w:pPr>
      <w:r w:rsidRPr="00771B7E">
        <w:rPr>
          <w:rFonts w:ascii="Arial" w:hAnsi="Arial" w:cs="Arial"/>
        </w:rPr>
        <w:t>La rendición de cuentas de las entidades públicas debe cumplir con tr</w:t>
      </w:r>
      <w:r w:rsidR="00DC36B8" w:rsidRPr="00771B7E">
        <w:rPr>
          <w:rFonts w:ascii="Arial" w:hAnsi="Arial" w:cs="Arial"/>
        </w:rPr>
        <w:t>es elementos fundamentales para</w:t>
      </w:r>
      <w:r w:rsidRPr="00771B7E">
        <w:rPr>
          <w:rFonts w:ascii="Arial" w:hAnsi="Arial" w:cs="Arial"/>
        </w:rPr>
        <w:t xml:space="preserve"> garant</w:t>
      </w:r>
      <w:r w:rsidR="00DC36B8" w:rsidRPr="00771B7E">
        <w:rPr>
          <w:rFonts w:ascii="Arial" w:hAnsi="Arial" w:cs="Arial"/>
        </w:rPr>
        <w:t>izar la responsabilidad pública</w:t>
      </w:r>
      <w:r w:rsidRPr="00771B7E">
        <w:rPr>
          <w:rFonts w:ascii="Arial" w:hAnsi="Arial" w:cs="Arial"/>
        </w:rPr>
        <w:t xml:space="preserve"> y el derecho ciudadano a controlar la gestión:</w:t>
      </w:r>
    </w:p>
    <w:p w14:paraId="1726B69E" w14:textId="77777777" w:rsidR="00B37228" w:rsidRPr="00771B7E" w:rsidRDefault="00B37228" w:rsidP="00F67007">
      <w:pPr>
        <w:pStyle w:val="Ttulo2"/>
        <w:numPr>
          <w:ilvl w:val="1"/>
          <w:numId w:val="3"/>
        </w:numPr>
        <w:rPr>
          <w:rFonts w:ascii="Arial" w:hAnsi="Arial" w:cs="Arial"/>
          <w:color w:val="auto"/>
          <w:sz w:val="22"/>
          <w:szCs w:val="22"/>
        </w:rPr>
      </w:pPr>
      <w:bookmarkStart w:id="8" w:name="_Toc1986554"/>
      <w:r w:rsidRPr="00771B7E">
        <w:rPr>
          <w:rFonts w:ascii="Arial" w:hAnsi="Arial" w:cs="Arial"/>
          <w:color w:val="auto"/>
          <w:sz w:val="22"/>
          <w:szCs w:val="22"/>
        </w:rPr>
        <w:t>Información de calidad y en lenguaje claro sobre los procesos y resultados de la gestión pública.</w:t>
      </w:r>
      <w:bookmarkEnd w:id="8"/>
    </w:p>
    <w:p w14:paraId="43388D43" w14:textId="77777777" w:rsidR="00B37228" w:rsidRPr="00771B7E" w:rsidRDefault="00B37228">
      <w:pPr>
        <w:pStyle w:val="Prrafodelista"/>
        <w:spacing w:after="0" w:line="240" w:lineRule="auto"/>
        <w:ind w:left="284"/>
        <w:jc w:val="both"/>
        <w:rPr>
          <w:rFonts w:ascii="Arial" w:hAnsi="Arial" w:cs="Arial"/>
        </w:rPr>
      </w:pPr>
    </w:p>
    <w:p w14:paraId="6B901037" w14:textId="60A2B7FC" w:rsidR="00B37228" w:rsidRPr="00771B7E" w:rsidRDefault="00375151">
      <w:pPr>
        <w:pStyle w:val="Prrafodelista"/>
        <w:spacing w:after="0" w:line="240" w:lineRule="auto"/>
        <w:ind w:left="0"/>
        <w:jc w:val="both"/>
        <w:rPr>
          <w:rFonts w:ascii="Arial" w:hAnsi="Arial" w:cs="Arial"/>
        </w:rPr>
      </w:pPr>
      <w:r w:rsidRPr="00771B7E">
        <w:rPr>
          <w:rFonts w:ascii="Arial" w:hAnsi="Arial" w:cs="Arial"/>
        </w:rPr>
        <w:t xml:space="preserve">El elemento información se refiere a la generación de datos y contenidos sobre la gestión, el resultado de esta y el cumplimiento de sus metas misionales y las asociadas con el plan de desarrollo departamental así como a la disponibilidad, exposición y difusión de datos, planes y proyectos de las entidades públicas.  </w:t>
      </w:r>
      <w:r w:rsidR="009E6C59" w:rsidRPr="00771B7E">
        <w:rPr>
          <w:rFonts w:ascii="Arial" w:hAnsi="Arial" w:cs="Arial"/>
        </w:rPr>
        <w:t>Es aquella q</w:t>
      </w:r>
      <w:r w:rsidRPr="00771B7E">
        <w:rPr>
          <w:rFonts w:ascii="Arial" w:hAnsi="Arial" w:cs="Arial"/>
        </w:rPr>
        <w:t>ue permita mostrar la articulación de la  planeación y gestión institucional para la protección, promoción y la garantía de los derechos.  Los datos y los contenidos deben cumplir el principio de calidad de la información para llegar a todos los grupos poblacionales y de interés</w:t>
      </w:r>
      <w:r w:rsidR="00B37228" w:rsidRPr="00771B7E">
        <w:rPr>
          <w:rFonts w:ascii="Arial" w:hAnsi="Arial" w:cs="Arial"/>
        </w:rPr>
        <w:t xml:space="preserve">. </w:t>
      </w:r>
      <w:r w:rsidR="000E345C" w:rsidRPr="00771B7E">
        <w:rPr>
          <w:rFonts w:ascii="Arial" w:hAnsi="Arial" w:cs="Arial"/>
        </w:rPr>
        <w:t>Este  elemento, se encuentra relacionado con el derecho al acceso y la disponibilidad de la</w:t>
      </w:r>
      <w:r w:rsidR="00B37228" w:rsidRPr="00771B7E">
        <w:rPr>
          <w:rFonts w:ascii="Arial" w:hAnsi="Arial" w:cs="Arial"/>
        </w:rPr>
        <w:t xml:space="preserve"> </w:t>
      </w:r>
      <w:r w:rsidR="000E345C" w:rsidRPr="00771B7E">
        <w:rPr>
          <w:rFonts w:ascii="Arial" w:hAnsi="Arial" w:cs="Arial"/>
        </w:rPr>
        <w:t>información pública de calidad por parte de los ciudadanos y organizaciones.</w:t>
      </w:r>
    </w:p>
    <w:p w14:paraId="10CAF5C2" w14:textId="77777777" w:rsidR="00B37228" w:rsidRPr="00771B7E" w:rsidRDefault="00B37228" w:rsidP="00F67007">
      <w:pPr>
        <w:pStyle w:val="Ttulo2"/>
        <w:numPr>
          <w:ilvl w:val="1"/>
          <w:numId w:val="3"/>
        </w:numPr>
        <w:rPr>
          <w:rFonts w:ascii="Arial" w:hAnsi="Arial" w:cs="Arial"/>
          <w:color w:val="auto"/>
          <w:sz w:val="22"/>
          <w:szCs w:val="22"/>
        </w:rPr>
      </w:pPr>
      <w:bookmarkStart w:id="9" w:name="_Toc1986555"/>
      <w:r w:rsidRPr="00771B7E">
        <w:rPr>
          <w:rFonts w:ascii="Arial" w:hAnsi="Arial" w:cs="Arial"/>
          <w:color w:val="auto"/>
          <w:sz w:val="22"/>
          <w:szCs w:val="22"/>
        </w:rPr>
        <w:t>Diálogo para explicar, escuchar y retroalimentar la gestión.</w:t>
      </w:r>
      <w:bookmarkEnd w:id="9"/>
    </w:p>
    <w:p w14:paraId="5542DCFB" w14:textId="77777777" w:rsidR="00B37228" w:rsidRPr="00771B7E" w:rsidRDefault="00B37228">
      <w:pPr>
        <w:pStyle w:val="Prrafodelista"/>
        <w:spacing w:after="0" w:line="240" w:lineRule="auto"/>
        <w:ind w:left="284"/>
        <w:jc w:val="both"/>
        <w:rPr>
          <w:rFonts w:ascii="Arial" w:hAnsi="Arial" w:cs="Arial"/>
        </w:rPr>
      </w:pPr>
    </w:p>
    <w:p w14:paraId="01246A4B" w14:textId="5D793289" w:rsidR="00B37228" w:rsidRPr="00771B7E" w:rsidRDefault="00375151">
      <w:pPr>
        <w:jc w:val="both"/>
        <w:rPr>
          <w:rFonts w:ascii="Arial" w:hAnsi="Arial" w:cs="Arial"/>
          <w:sz w:val="22"/>
          <w:szCs w:val="22"/>
        </w:rPr>
      </w:pPr>
      <w:r w:rsidRPr="00771B7E">
        <w:rPr>
          <w:rFonts w:ascii="Arial" w:hAnsi="Arial" w:cs="Arial"/>
          <w:sz w:val="22"/>
          <w:szCs w:val="22"/>
        </w:rPr>
        <w:t>El elemento diálogo se refiere a aquellas prácticas en que las entidades públicas, después de entregar información, dan explicaciones y justificaciones o responden las inquietudes de los ciudadanos frente a sus acciones y decisiones en espacios (bien sea presenciales-generales, segmentados o focalizados, virtuales por medio de nuevas tecnologías) donde se mantiene un contacto directo. Existe la posibilidad de interacción, pregunta-respuesta y aclaraciones sobre las expectativas mutuas de la relación</w:t>
      </w:r>
      <w:r w:rsidR="00B37228" w:rsidRPr="00771B7E">
        <w:rPr>
          <w:rFonts w:ascii="Arial" w:hAnsi="Arial" w:cs="Arial"/>
          <w:sz w:val="22"/>
          <w:szCs w:val="22"/>
        </w:rPr>
        <w:t>.</w:t>
      </w:r>
      <w:r w:rsidR="000E345C" w:rsidRPr="00771B7E">
        <w:rPr>
          <w:rFonts w:ascii="Arial" w:hAnsi="Arial" w:cs="Arial"/>
          <w:sz w:val="22"/>
          <w:szCs w:val="22"/>
        </w:rPr>
        <w:t xml:space="preserve"> </w:t>
      </w:r>
    </w:p>
    <w:p w14:paraId="6D0E824E" w14:textId="77777777" w:rsidR="00B37228" w:rsidRPr="00771B7E" w:rsidRDefault="00B37228" w:rsidP="00F67007">
      <w:pPr>
        <w:pStyle w:val="Ttulo2"/>
        <w:numPr>
          <w:ilvl w:val="1"/>
          <w:numId w:val="3"/>
        </w:numPr>
        <w:rPr>
          <w:rFonts w:ascii="Arial" w:hAnsi="Arial" w:cs="Arial"/>
          <w:color w:val="auto"/>
          <w:sz w:val="22"/>
          <w:szCs w:val="22"/>
        </w:rPr>
      </w:pPr>
      <w:bookmarkStart w:id="10" w:name="_Toc1986556"/>
      <w:r w:rsidRPr="00771B7E">
        <w:rPr>
          <w:rFonts w:ascii="Arial" w:hAnsi="Arial" w:cs="Arial"/>
          <w:color w:val="auto"/>
          <w:sz w:val="22"/>
          <w:szCs w:val="22"/>
        </w:rPr>
        <w:t>Incentivos a los servidores públicos y a los ciudadanos.</w:t>
      </w:r>
      <w:bookmarkEnd w:id="10"/>
    </w:p>
    <w:p w14:paraId="60A9D9FB" w14:textId="77777777" w:rsidR="00B37228" w:rsidRPr="00771B7E" w:rsidRDefault="00B37228">
      <w:pPr>
        <w:pStyle w:val="Prrafodelista"/>
        <w:spacing w:after="0" w:line="240" w:lineRule="auto"/>
        <w:ind w:left="284"/>
        <w:jc w:val="both"/>
        <w:rPr>
          <w:rFonts w:ascii="Arial" w:hAnsi="Arial" w:cs="Arial"/>
          <w:lang w:val="es-ES_tradnl"/>
        </w:rPr>
      </w:pPr>
    </w:p>
    <w:p w14:paraId="2B4CD779" w14:textId="1FDDFD53" w:rsidR="00F15860" w:rsidRPr="00771B7E" w:rsidRDefault="00375151" w:rsidP="001A6FB1">
      <w:pPr>
        <w:jc w:val="both"/>
        <w:rPr>
          <w:rFonts w:ascii="Arial" w:hAnsi="Arial" w:cs="Arial"/>
          <w:sz w:val="22"/>
          <w:szCs w:val="22"/>
        </w:rPr>
      </w:pPr>
      <w:r w:rsidRPr="00771B7E">
        <w:rPr>
          <w:rFonts w:ascii="Arial" w:hAnsi="Arial" w:cs="Arial"/>
          <w:sz w:val="22"/>
          <w:szCs w:val="22"/>
        </w:rPr>
        <w:t xml:space="preserve">El elemento </w:t>
      </w:r>
      <w:r w:rsidR="009E6C59" w:rsidRPr="00771B7E">
        <w:rPr>
          <w:rFonts w:ascii="Arial" w:hAnsi="Arial" w:cs="Arial"/>
          <w:sz w:val="22"/>
          <w:szCs w:val="22"/>
        </w:rPr>
        <w:t>incentivo</w:t>
      </w:r>
      <w:r w:rsidRPr="00771B7E">
        <w:rPr>
          <w:rFonts w:ascii="Arial" w:hAnsi="Arial" w:cs="Arial"/>
          <w:sz w:val="22"/>
          <w:szCs w:val="22"/>
        </w:rPr>
        <w:t xml:space="preserve"> se refiere a aquellas acciones por medio de las cuales las entidades públicas refuerzan el comportamiento de servidores públicos y ciudadanos hacia el proceso de rendición de cuentas. Se trata entonces de llevar a cabo gestiones que contribuyan a la interiorización de la cultura de rendición de cuentas en los servidores públicos y en los ciudadanos. Los incentivos estarán orientados a motivar la realización de procesos de rendición de cuentas, promoviendo comportamientos institucionales para su cualificación mediante la capacitación, el acompañamiento y el reconocimiento de experiencias</w:t>
      </w:r>
      <w:r w:rsidR="00B37228" w:rsidRPr="00771B7E">
        <w:rPr>
          <w:rFonts w:ascii="Arial" w:hAnsi="Arial" w:cs="Arial"/>
          <w:sz w:val="22"/>
          <w:szCs w:val="22"/>
        </w:rPr>
        <w:t>.</w:t>
      </w:r>
    </w:p>
    <w:p w14:paraId="0D949281" w14:textId="77777777" w:rsidR="000E345C" w:rsidRPr="00771B7E" w:rsidRDefault="000E345C" w:rsidP="001A6FB1">
      <w:pPr>
        <w:jc w:val="both"/>
        <w:rPr>
          <w:rFonts w:ascii="Arial" w:hAnsi="Arial" w:cs="Arial"/>
          <w:sz w:val="22"/>
          <w:szCs w:val="22"/>
        </w:rPr>
      </w:pPr>
    </w:p>
    <w:p w14:paraId="3DF316CC" w14:textId="77777777" w:rsidR="00B37228" w:rsidRPr="00771B7E" w:rsidRDefault="00B37228" w:rsidP="00F67007">
      <w:pPr>
        <w:pStyle w:val="Ttulo1"/>
        <w:numPr>
          <w:ilvl w:val="0"/>
          <w:numId w:val="3"/>
        </w:numPr>
        <w:spacing w:line="240" w:lineRule="auto"/>
        <w:jc w:val="left"/>
        <w:rPr>
          <w:color w:val="auto"/>
          <w:sz w:val="22"/>
          <w:szCs w:val="22"/>
        </w:rPr>
      </w:pPr>
      <w:bookmarkStart w:id="11" w:name="_Toc1986557"/>
      <w:r w:rsidRPr="00771B7E">
        <w:rPr>
          <w:color w:val="auto"/>
          <w:sz w:val="22"/>
          <w:szCs w:val="22"/>
        </w:rPr>
        <w:t>RUTA METODOLÓGICA PARA LA RENDICIÓN DE CUENTAS</w:t>
      </w:r>
      <w:bookmarkEnd w:id="11"/>
    </w:p>
    <w:p w14:paraId="31BE61C8" w14:textId="77777777" w:rsidR="00DC36B8" w:rsidRPr="00771B7E" w:rsidRDefault="00DC36B8" w:rsidP="000E1781">
      <w:pPr>
        <w:pStyle w:val="Normal1"/>
        <w:ind w:left="720"/>
        <w:jc w:val="left"/>
      </w:pPr>
    </w:p>
    <w:p w14:paraId="6FBA0F0B" w14:textId="77777777" w:rsidR="00B37228" w:rsidRPr="00771B7E" w:rsidRDefault="00B37228" w:rsidP="000E1781">
      <w:pPr>
        <w:pStyle w:val="Prrafodelista"/>
        <w:spacing w:after="0" w:line="240" w:lineRule="auto"/>
        <w:ind w:left="0"/>
        <w:jc w:val="both"/>
        <w:rPr>
          <w:rFonts w:ascii="Arial" w:hAnsi="Arial" w:cs="Arial"/>
        </w:rPr>
      </w:pPr>
      <w:r w:rsidRPr="00771B7E">
        <w:rPr>
          <w:rFonts w:ascii="Arial" w:hAnsi="Arial" w:cs="Arial"/>
        </w:rPr>
        <w:t>Una vez contemplados los elementos fundamentales de la rend</w:t>
      </w:r>
      <w:r w:rsidR="00DC36B8" w:rsidRPr="00771B7E">
        <w:rPr>
          <w:rFonts w:ascii="Arial" w:hAnsi="Arial" w:cs="Arial"/>
        </w:rPr>
        <w:t>ición de cuentas es importante desarrollar</w:t>
      </w:r>
      <w:r w:rsidRPr="00771B7E">
        <w:rPr>
          <w:rFonts w:ascii="Arial" w:hAnsi="Arial" w:cs="Arial"/>
        </w:rPr>
        <w:t xml:space="preserve"> las siguientes etapas para cumplir el objetivo de la entidad frente al informe de su gestión ante la ciudadanía y partes interesadas.</w:t>
      </w:r>
    </w:p>
    <w:p w14:paraId="4FE00D95" w14:textId="77777777" w:rsidR="00B37228" w:rsidRPr="00771B7E" w:rsidRDefault="00B37228" w:rsidP="000E1781">
      <w:pPr>
        <w:pStyle w:val="Prrafodelista"/>
        <w:spacing w:after="0" w:line="240" w:lineRule="auto"/>
        <w:ind w:left="284"/>
        <w:jc w:val="both"/>
        <w:rPr>
          <w:rFonts w:ascii="Arial" w:hAnsi="Arial" w:cs="Arial"/>
        </w:rPr>
      </w:pPr>
      <w:r w:rsidRPr="00771B7E">
        <w:rPr>
          <w:rFonts w:ascii="Arial" w:hAnsi="Arial" w:cs="Arial"/>
        </w:rPr>
        <w:lastRenderedPageBreak/>
        <w:t xml:space="preserve">  </w:t>
      </w:r>
      <w:r w:rsidRPr="00771B7E">
        <w:rPr>
          <w:rFonts w:ascii="Arial" w:hAnsi="Arial" w:cs="Arial"/>
          <w:noProof/>
          <w:lang w:eastAsia="es-CO"/>
        </w:rPr>
        <w:drawing>
          <wp:inline distT="0" distB="0" distL="0" distR="0" wp14:anchorId="49BB28A8" wp14:editId="13BAA1CA">
            <wp:extent cx="5610474" cy="755374"/>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175FF3E" w14:textId="77777777" w:rsidR="00B37228" w:rsidRPr="00771B7E" w:rsidRDefault="00B37228" w:rsidP="00F67007">
      <w:pPr>
        <w:pStyle w:val="Ttulo2"/>
        <w:numPr>
          <w:ilvl w:val="1"/>
          <w:numId w:val="3"/>
        </w:numPr>
        <w:overflowPunct/>
        <w:autoSpaceDE/>
        <w:autoSpaceDN/>
        <w:adjustRightInd/>
        <w:rPr>
          <w:rFonts w:ascii="Arial" w:hAnsi="Arial" w:cs="Arial"/>
          <w:color w:val="auto"/>
          <w:sz w:val="22"/>
          <w:szCs w:val="22"/>
        </w:rPr>
      </w:pPr>
      <w:bookmarkStart w:id="12" w:name="_Toc1986558"/>
      <w:r w:rsidRPr="00771B7E">
        <w:rPr>
          <w:rFonts w:ascii="Arial" w:hAnsi="Arial" w:cs="Arial"/>
          <w:color w:val="auto"/>
          <w:sz w:val="22"/>
          <w:szCs w:val="22"/>
        </w:rPr>
        <w:t>Alistamiento</w:t>
      </w:r>
      <w:bookmarkEnd w:id="12"/>
    </w:p>
    <w:p w14:paraId="06CDDFDE" w14:textId="77777777" w:rsidR="00B37228" w:rsidRPr="00771B7E" w:rsidRDefault="00B37228">
      <w:pPr>
        <w:jc w:val="both"/>
        <w:rPr>
          <w:rFonts w:ascii="Arial" w:hAnsi="Arial" w:cs="Arial"/>
          <w:sz w:val="22"/>
          <w:szCs w:val="22"/>
        </w:rPr>
      </w:pPr>
    </w:p>
    <w:p w14:paraId="2312022B" w14:textId="77777777" w:rsidR="000E1781" w:rsidRPr="00771B7E" w:rsidRDefault="00B37228">
      <w:pPr>
        <w:jc w:val="both"/>
        <w:rPr>
          <w:rFonts w:ascii="Arial" w:eastAsia="MS Mincho" w:hAnsi="Arial" w:cs="Arial"/>
          <w:sz w:val="22"/>
          <w:szCs w:val="22"/>
        </w:rPr>
      </w:pPr>
      <w:r w:rsidRPr="00771B7E">
        <w:rPr>
          <w:rFonts w:ascii="Arial" w:eastAsia="MS Mincho" w:hAnsi="Arial" w:cs="Arial"/>
          <w:sz w:val="22"/>
          <w:szCs w:val="22"/>
        </w:rPr>
        <w:t>En esta etapa se debe definir el equipo respo</w:t>
      </w:r>
      <w:r w:rsidR="00DC36B8" w:rsidRPr="00771B7E">
        <w:rPr>
          <w:rFonts w:ascii="Arial" w:eastAsia="MS Mincho" w:hAnsi="Arial" w:cs="Arial"/>
          <w:sz w:val="22"/>
          <w:szCs w:val="22"/>
        </w:rPr>
        <w:t>nsable de coordinar, ejecutar y</w:t>
      </w:r>
      <w:r w:rsidRPr="00771B7E">
        <w:rPr>
          <w:rFonts w:ascii="Arial" w:eastAsia="MS Mincho" w:hAnsi="Arial" w:cs="Arial"/>
          <w:sz w:val="22"/>
          <w:szCs w:val="22"/>
        </w:rPr>
        <w:t xml:space="preserve"> hacer seguimiento al proceso de rendición de cuentas, realizar la caracterización de los actores, identificar y recopilar la información requerida para la rendición de cuentas. </w:t>
      </w:r>
    </w:p>
    <w:p w14:paraId="04EA0025" w14:textId="77777777" w:rsidR="000E1781" w:rsidRPr="00771B7E" w:rsidRDefault="000E1781">
      <w:pPr>
        <w:jc w:val="both"/>
        <w:rPr>
          <w:rFonts w:ascii="Arial" w:eastAsia="MS Mincho" w:hAnsi="Arial" w:cs="Arial"/>
          <w:sz w:val="22"/>
          <w:szCs w:val="22"/>
        </w:rPr>
      </w:pPr>
    </w:p>
    <w:p w14:paraId="20143AB9" w14:textId="00B22A1E" w:rsidR="00B37228" w:rsidRPr="00771B7E" w:rsidRDefault="00B37228">
      <w:pPr>
        <w:jc w:val="both"/>
        <w:rPr>
          <w:rFonts w:ascii="Arial" w:eastAsia="MS Mincho" w:hAnsi="Arial" w:cs="Arial"/>
          <w:sz w:val="22"/>
          <w:szCs w:val="22"/>
        </w:rPr>
      </w:pPr>
      <w:r w:rsidRPr="00771B7E">
        <w:rPr>
          <w:rFonts w:ascii="Arial" w:eastAsia="MS Mincho" w:hAnsi="Arial" w:cs="Arial"/>
          <w:sz w:val="22"/>
          <w:szCs w:val="22"/>
        </w:rPr>
        <w:t>Teniendo en cuenta el mapa de procesos definido y publicado en la página web de la entidad</w:t>
      </w:r>
      <w:r w:rsidR="000E1781" w:rsidRPr="00771B7E">
        <w:rPr>
          <w:rFonts w:ascii="Arial" w:eastAsia="MS Mincho" w:hAnsi="Arial" w:cs="Arial"/>
          <w:sz w:val="22"/>
          <w:szCs w:val="22"/>
        </w:rPr>
        <w:t xml:space="preserve">, </w:t>
      </w:r>
      <w:r w:rsidR="00F15860" w:rsidRPr="00771B7E">
        <w:rPr>
          <w:rFonts w:ascii="Arial" w:eastAsia="MS Mincho" w:hAnsi="Arial" w:cs="Arial"/>
          <w:sz w:val="22"/>
          <w:szCs w:val="22"/>
        </w:rPr>
        <w:t>en la sección MALOCA AULASIG, las actividades que se definan dentro de esta estrategia tendrán</w:t>
      </w:r>
      <w:r w:rsidR="00DC36B8" w:rsidRPr="00771B7E">
        <w:rPr>
          <w:rFonts w:ascii="Arial" w:eastAsia="MS Mincho" w:hAnsi="Arial" w:cs="Arial"/>
          <w:sz w:val="22"/>
          <w:szCs w:val="22"/>
        </w:rPr>
        <w:t xml:space="preserve"> el correspondiente responsable</w:t>
      </w:r>
      <w:r w:rsidR="00F15860" w:rsidRPr="00771B7E">
        <w:rPr>
          <w:rFonts w:ascii="Arial" w:eastAsia="MS Mincho" w:hAnsi="Arial" w:cs="Arial"/>
          <w:sz w:val="22"/>
          <w:szCs w:val="22"/>
        </w:rPr>
        <w:t xml:space="preserve"> </w:t>
      </w:r>
      <w:r w:rsidRPr="00771B7E">
        <w:rPr>
          <w:rFonts w:ascii="Arial" w:eastAsia="MS Mincho" w:hAnsi="Arial" w:cs="Arial"/>
          <w:sz w:val="22"/>
          <w:szCs w:val="22"/>
        </w:rPr>
        <w:t>de apoyar el proceso de R</w:t>
      </w:r>
      <w:r w:rsidR="000E1781" w:rsidRPr="00771B7E">
        <w:rPr>
          <w:rFonts w:ascii="Arial" w:eastAsia="MS Mincho" w:hAnsi="Arial" w:cs="Arial"/>
          <w:sz w:val="22"/>
          <w:szCs w:val="22"/>
        </w:rPr>
        <w:t xml:space="preserve">endición </w:t>
      </w:r>
      <w:r w:rsidRPr="00771B7E">
        <w:rPr>
          <w:rFonts w:ascii="Arial" w:eastAsia="MS Mincho" w:hAnsi="Arial" w:cs="Arial"/>
          <w:sz w:val="22"/>
          <w:szCs w:val="22"/>
        </w:rPr>
        <w:t>d</w:t>
      </w:r>
      <w:r w:rsidR="000E1781" w:rsidRPr="00771B7E">
        <w:rPr>
          <w:rFonts w:ascii="Arial" w:eastAsia="MS Mincho" w:hAnsi="Arial" w:cs="Arial"/>
          <w:sz w:val="22"/>
          <w:szCs w:val="22"/>
        </w:rPr>
        <w:t xml:space="preserve">e </w:t>
      </w:r>
      <w:r w:rsidRPr="00771B7E">
        <w:rPr>
          <w:rFonts w:ascii="Arial" w:eastAsia="MS Mincho" w:hAnsi="Arial" w:cs="Arial"/>
          <w:sz w:val="22"/>
          <w:szCs w:val="22"/>
        </w:rPr>
        <w:t>C</w:t>
      </w:r>
      <w:r w:rsidR="000E1781" w:rsidRPr="00771B7E">
        <w:rPr>
          <w:rFonts w:ascii="Arial" w:eastAsia="MS Mincho" w:hAnsi="Arial" w:cs="Arial"/>
          <w:sz w:val="22"/>
          <w:szCs w:val="22"/>
        </w:rPr>
        <w:t>uentas</w:t>
      </w:r>
      <w:r w:rsidRPr="00771B7E">
        <w:rPr>
          <w:rFonts w:ascii="Arial" w:eastAsia="MS Mincho" w:hAnsi="Arial" w:cs="Arial"/>
          <w:sz w:val="22"/>
          <w:szCs w:val="22"/>
        </w:rPr>
        <w:t xml:space="preserve"> al inter</w:t>
      </w:r>
      <w:r w:rsidR="00F15860" w:rsidRPr="00771B7E">
        <w:rPr>
          <w:rFonts w:ascii="Arial" w:eastAsia="MS Mincho" w:hAnsi="Arial" w:cs="Arial"/>
          <w:sz w:val="22"/>
          <w:szCs w:val="22"/>
        </w:rPr>
        <w:t>ior de sus áreas.</w:t>
      </w:r>
    </w:p>
    <w:p w14:paraId="2621399A" w14:textId="77777777" w:rsidR="00D51A8F" w:rsidRPr="00771B7E" w:rsidRDefault="00D51A8F">
      <w:pPr>
        <w:jc w:val="both"/>
        <w:rPr>
          <w:rFonts w:ascii="Arial" w:eastAsia="MS Mincho" w:hAnsi="Arial" w:cs="Arial"/>
          <w:sz w:val="22"/>
          <w:szCs w:val="22"/>
        </w:rPr>
      </w:pPr>
    </w:p>
    <w:p w14:paraId="431D9649" w14:textId="77777777" w:rsidR="00B37228" w:rsidRPr="00771B7E" w:rsidRDefault="00B37228" w:rsidP="00D51A8F">
      <w:pPr>
        <w:rPr>
          <w:rFonts w:ascii="Arial" w:hAnsi="Arial" w:cs="Arial"/>
          <w:b/>
          <w:sz w:val="22"/>
          <w:szCs w:val="22"/>
        </w:rPr>
      </w:pPr>
      <w:r w:rsidRPr="00771B7E">
        <w:rPr>
          <w:rFonts w:ascii="Arial" w:hAnsi="Arial" w:cs="Arial"/>
          <w:b/>
          <w:sz w:val="22"/>
          <w:szCs w:val="22"/>
        </w:rPr>
        <w:t xml:space="preserve">Definición del equipo que lidera el proceso de rendición de cuentas </w:t>
      </w:r>
    </w:p>
    <w:p w14:paraId="611B4882" w14:textId="77777777" w:rsidR="00B37228" w:rsidRPr="00771B7E" w:rsidRDefault="00B37228">
      <w:pPr>
        <w:pStyle w:val="Prrafodelista"/>
        <w:spacing w:after="0" w:line="240" w:lineRule="auto"/>
        <w:ind w:left="1080"/>
        <w:rPr>
          <w:rFonts w:ascii="Arial" w:eastAsia="Times New Roman" w:hAnsi="Arial" w:cs="Arial"/>
          <w:b/>
        </w:rPr>
      </w:pPr>
    </w:p>
    <w:p w14:paraId="6EB982D5" w14:textId="77777777" w:rsidR="000E1781" w:rsidRPr="00771B7E" w:rsidRDefault="00DC36B8">
      <w:pPr>
        <w:pStyle w:val="Prrafodelista"/>
        <w:spacing w:after="0" w:line="240" w:lineRule="auto"/>
        <w:ind w:left="0"/>
        <w:jc w:val="both"/>
        <w:rPr>
          <w:rFonts w:ascii="Arial" w:eastAsia="Times New Roman" w:hAnsi="Arial" w:cs="Arial"/>
        </w:rPr>
      </w:pPr>
      <w:r w:rsidRPr="00771B7E">
        <w:rPr>
          <w:rFonts w:ascii="Arial" w:eastAsia="Times New Roman" w:hAnsi="Arial" w:cs="Arial"/>
        </w:rPr>
        <w:t>En el IDEP</w:t>
      </w:r>
      <w:r w:rsidR="00B37228" w:rsidRPr="00771B7E">
        <w:rPr>
          <w:rFonts w:ascii="Arial" w:eastAsia="Times New Roman" w:hAnsi="Arial" w:cs="Arial"/>
        </w:rPr>
        <w:t xml:space="preserve"> el desarrollo y ejecución del proceso de rendición de cuentas es responsabilidad de todas las oficinas y subdirecciones junto con sus equipo</w:t>
      </w:r>
      <w:r w:rsidR="009D4E65" w:rsidRPr="00771B7E">
        <w:rPr>
          <w:rFonts w:ascii="Arial" w:eastAsia="Times New Roman" w:hAnsi="Arial" w:cs="Arial"/>
        </w:rPr>
        <w:t>s</w:t>
      </w:r>
      <w:r w:rsidR="00B37228" w:rsidRPr="00771B7E">
        <w:rPr>
          <w:rFonts w:ascii="Arial" w:eastAsia="Times New Roman" w:hAnsi="Arial" w:cs="Arial"/>
        </w:rPr>
        <w:t xml:space="preserve"> de trabajo. </w:t>
      </w:r>
    </w:p>
    <w:p w14:paraId="5DDD1CE3" w14:textId="77777777" w:rsidR="000E1781" w:rsidRPr="00771B7E" w:rsidRDefault="000E1781">
      <w:pPr>
        <w:pStyle w:val="Prrafodelista"/>
        <w:spacing w:after="0" w:line="240" w:lineRule="auto"/>
        <w:ind w:left="0"/>
        <w:jc w:val="both"/>
        <w:rPr>
          <w:rFonts w:ascii="Arial" w:eastAsia="Times New Roman" w:hAnsi="Arial" w:cs="Arial"/>
        </w:rPr>
      </w:pPr>
    </w:p>
    <w:p w14:paraId="06AA25E2" w14:textId="77777777" w:rsidR="00B37228" w:rsidRPr="00771B7E" w:rsidRDefault="00B37228">
      <w:pPr>
        <w:pStyle w:val="Prrafodelista"/>
        <w:spacing w:after="0" w:line="240" w:lineRule="auto"/>
        <w:ind w:left="0"/>
        <w:jc w:val="both"/>
        <w:rPr>
          <w:rFonts w:ascii="Arial" w:eastAsia="Times New Roman" w:hAnsi="Arial" w:cs="Arial"/>
        </w:rPr>
      </w:pPr>
      <w:r w:rsidRPr="00771B7E">
        <w:rPr>
          <w:rFonts w:ascii="Arial" w:eastAsia="Times New Roman" w:hAnsi="Arial" w:cs="Arial"/>
        </w:rPr>
        <w:t xml:space="preserve">La oficina Asesora de Planeación es la encargada de liderar, organizar, </w:t>
      </w:r>
      <w:r w:rsidR="00420038" w:rsidRPr="00771B7E">
        <w:rPr>
          <w:rFonts w:ascii="Arial" w:eastAsia="Times New Roman" w:hAnsi="Arial" w:cs="Arial"/>
        </w:rPr>
        <w:t xml:space="preserve">planear </w:t>
      </w:r>
      <w:r w:rsidRPr="00771B7E">
        <w:rPr>
          <w:rFonts w:ascii="Arial" w:eastAsia="Times New Roman" w:hAnsi="Arial" w:cs="Arial"/>
        </w:rPr>
        <w:t>y hacer seguimiento a este proceso y la Oficina de Control Interno es responsable de verificar y validar los lineamientos y normas aplicables al mismo.</w:t>
      </w:r>
    </w:p>
    <w:p w14:paraId="38E6F29F" w14:textId="77777777" w:rsidR="00D51A8F" w:rsidRPr="00771B7E" w:rsidRDefault="00D51A8F">
      <w:pPr>
        <w:pStyle w:val="Prrafodelista"/>
        <w:spacing w:after="0" w:line="240" w:lineRule="auto"/>
        <w:ind w:left="0"/>
        <w:jc w:val="both"/>
        <w:rPr>
          <w:rFonts w:ascii="Arial" w:eastAsia="Times New Roman" w:hAnsi="Arial" w:cs="Arial"/>
        </w:rPr>
      </w:pPr>
    </w:p>
    <w:p w14:paraId="487BF46A" w14:textId="1EA7C02E" w:rsidR="00B37228" w:rsidRPr="00771B7E" w:rsidRDefault="00DC36B8" w:rsidP="00D51A8F">
      <w:pPr>
        <w:rPr>
          <w:rFonts w:ascii="Arial" w:hAnsi="Arial" w:cs="Arial"/>
          <w:b/>
          <w:sz w:val="22"/>
          <w:szCs w:val="22"/>
        </w:rPr>
      </w:pPr>
      <w:r w:rsidRPr="00771B7E">
        <w:rPr>
          <w:rFonts w:ascii="Arial" w:hAnsi="Arial" w:cs="Arial"/>
          <w:b/>
          <w:sz w:val="22"/>
          <w:szCs w:val="22"/>
        </w:rPr>
        <w:t>I</w:t>
      </w:r>
      <w:r w:rsidR="00B37228" w:rsidRPr="00771B7E">
        <w:rPr>
          <w:rFonts w:ascii="Arial" w:hAnsi="Arial" w:cs="Arial"/>
          <w:b/>
          <w:sz w:val="22"/>
          <w:szCs w:val="22"/>
        </w:rPr>
        <w:t xml:space="preserve">dentificación de </w:t>
      </w:r>
      <w:r w:rsidR="006E6F9A" w:rsidRPr="00771B7E">
        <w:rPr>
          <w:rFonts w:ascii="Arial" w:hAnsi="Arial" w:cs="Arial"/>
          <w:b/>
          <w:sz w:val="22"/>
          <w:szCs w:val="22"/>
        </w:rPr>
        <w:t>grupos de valor</w:t>
      </w:r>
      <w:r w:rsidR="007B0D41">
        <w:rPr>
          <w:rFonts w:ascii="Arial" w:hAnsi="Arial" w:cs="Arial"/>
          <w:b/>
          <w:sz w:val="22"/>
          <w:szCs w:val="22"/>
        </w:rPr>
        <w:t xml:space="preserve">, grupos de interés </w:t>
      </w:r>
      <w:r w:rsidR="00B37228" w:rsidRPr="00771B7E">
        <w:rPr>
          <w:rFonts w:ascii="Arial" w:hAnsi="Arial" w:cs="Arial"/>
          <w:b/>
          <w:sz w:val="22"/>
          <w:szCs w:val="22"/>
        </w:rPr>
        <w:t>y partes interesadas</w:t>
      </w:r>
    </w:p>
    <w:p w14:paraId="565C71E1" w14:textId="77777777" w:rsidR="00B37228" w:rsidRPr="00771B7E" w:rsidRDefault="00B37228">
      <w:pPr>
        <w:pStyle w:val="Default"/>
        <w:jc w:val="both"/>
        <w:rPr>
          <w:color w:val="auto"/>
          <w:sz w:val="22"/>
          <w:szCs w:val="22"/>
          <w:lang w:val="es-ES_tradnl"/>
        </w:rPr>
      </w:pPr>
    </w:p>
    <w:p w14:paraId="3389A9BE" w14:textId="77777777" w:rsidR="00B37228" w:rsidRPr="00771B7E" w:rsidRDefault="00B37228">
      <w:pPr>
        <w:pStyle w:val="Default"/>
        <w:jc w:val="both"/>
        <w:rPr>
          <w:color w:val="auto"/>
          <w:sz w:val="22"/>
          <w:szCs w:val="22"/>
        </w:rPr>
      </w:pPr>
      <w:r w:rsidRPr="00771B7E">
        <w:rPr>
          <w:color w:val="auto"/>
          <w:sz w:val="22"/>
          <w:szCs w:val="22"/>
        </w:rPr>
        <w:t xml:space="preserve">El IDEP, teniendo en cuenta su </w:t>
      </w:r>
      <w:proofErr w:type="spellStart"/>
      <w:r w:rsidRPr="00771B7E">
        <w:rPr>
          <w:color w:val="auto"/>
          <w:sz w:val="22"/>
          <w:szCs w:val="22"/>
        </w:rPr>
        <w:t>misionalidad</w:t>
      </w:r>
      <w:proofErr w:type="spellEnd"/>
      <w:r w:rsidRPr="00771B7E">
        <w:rPr>
          <w:color w:val="auto"/>
          <w:sz w:val="22"/>
          <w:szCs w:val="22"/>
        </w:rPr>
        <w:t xml:space="preserve"> y servicios prestados a la ciudadanía, identifica como usuarios y partes interesadas a:</w:t>
      </w:r>
    </w:p>
    <w:p w14:paraId="05EF1B40" w14:textId="77777777" w:rsidR="007D3331" w:rsidRPr="00771B7E" w:rsidRDefault="007D3331">
      <w:pPr>
        <w:pStyle w:val="Default"/>
        <w:jc w:val="both"/>
        <w:rPr>
          <w:color w:val="auto"/>
          <w:sz w:val="22"/>
          <w:szCs w:val="22"/>
        </w:rPr>
      </w:pPr>
    </w:p>
    <w:tbl>
      <w:tblPr>
        <w:tblW w:w="8779" w:type="dxa"/>
        <w:tblInd w:w="80" w:type="dxa"/>
        <w:tblCellMar>
          <w:left w:w="70" w:type="dxa"/>
          <w:right w:w="70" w:type="dxa"/>
        </w:tblCellMar>
        <w:tblLook w:val="04A0" w:firstRow="1" w:lastRow="0" w:firstColumn="1" w:lastColumn="0" w:noHBand="0" w:noVBand="1"/>
      </w:tblPr>
      <w:tblGrid>
        <w:gridCol w:w="983"/>
        <w:gridCol w:w="2819"/>
        <w:gridCol w:w="4977"/>
      </w:tblGrid>
      <w:tr w:rsidR="007D3331" w:rsidRPr="00771B7E" w14:paraId="732BF487" w14:textId="77777777" w:rsidTr="00486888">
        <w:trPr>
          <w:trHeight w:val="390"/>
        </w:trPr>
        <w:tc>
          <w:tcPr>
            <w:tcW w:w="983"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1C801E0B" w14:textId="77777777" w:rsidR="007D3331" w:rsidRPr="00771B7E" w:rsidRDefault="007D3331" w:rsidP="00486888">
            <w:pPr>
              <w:jc w:val="center"/>
              <w:rPr>
                <w:rFonts w:ascii="Arial" w:hAnsi="Arial" w:cs="Arial"/>
                <w:b/>
                <w:bCs/>
                <w:color w:val="000000"/>
                <w:sz w:val="18"/>
                <w:szCs w:val="18"/>
              </w:rPr>
            </w:pPr>
            <w:r w:rsidRPr="00771B7E">
              <w:rPr>
                <w:rFonts w:ascii="Arial" w:hAnsi="Arial" w:cs="Arial"/>
                <w:b/>
                <w:bCs/>
                <w:color w:val="000000"/>
                <w:sz w:val="18"/>
                <w:szCs w:val="18"/>
              </w:rPr>
              <w:t>Categoría</w:t>
            </w:r>
          </w:p>
        </w:tc>
        <w:tc>
          <w:tcPr>
            <w:tcW w:w="2819"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7A0D41DE" w14:textId="77777777" w:rsidR="007D3331" w:rsidRPr="00771B7E" w:rsidRDefault="007D3331" w:rsidP="00486888">
            <w:pPr>
              <w:jc w:val="center"/>
              <w:rPr>
                <w:rFonts w:ascii="Arial" w:hAnsi="Arial" w:cs="Arial"/>
                <w:b/>
                <w:bCs/>
                <w:color w:val="000000"/>
                <w:sz w:val="18"/>
                <w:szCs w:val="18"/>
              </w:rPr>
            </w:pPr>
            <w:r w:rsidRPr="00771B7E">
              <w:rPr>
                <w:rFonts w:ascii="Arial" w:hAnsi="Arial" w:cs="Arial"/>
                <w:b/>
                <w:bCs/>
                <w:color w:val="000000"/>
                <w:sz w:val="18"/>
                <w:szCs w:val="18"/>
              </w:rPr>
              <w:t>Caracterización</w:t>
            </w:r>
          </w:p>
        </w:tc>
        <w:tc>
          <w:tcPr>
            <w:tcW w:w="4977"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69A4D27D" w14:textId="77777777" w:rsidR="007D3331" w:rsidRPr="00771B7E" w:rsidRDefault="007D3331" w:rsidP="00486888">
            <w:pPr>
              <w:jc w:val="center"/>
              <w:rPr>
                <w:rFonts w:ascii="Arial" w:hAnsi="Arial" w:cs="Arial"/>
                <w:b/>
                <w:bCs/>
                <w:color w:val="000000"/>
                <w:sz w:val="18"/>
                <w:szCs w:val="18"/>
              </w:rPr>
            </w:pPr>
            <w:r w:rsidRPr="00771B7E">
              <w:rPr>
                <w:rFonts w:ascii="Arial" w:hAnsi="Arial" w:cs="Arial"/>
                <w:b/>
                <w:bCs/>
                <w:color w:val="000000"/>
                <w:sz w:val="18"/>
                <w:szCs w:val="18"/>
              </w:rPr>
              <w:t xml:space="preserve">Descripción de la población </w:t>
            </w:r>
          </w:p>
        </w:tc>
      </w:tr>
      <w:tr w:rsidR="007D3331" w:rsidRPr="00771B7E" w14:paraId="0CF6F266" w14:textId="77777777" w:rsidTr="00486888">
        <w:trPr>
          <w:trHeight w:val="253"/>
        </w:trPr>
        <w:tc>
          <w:tcPr>
            <w:tcW w:w="983"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14:paraId="7850C731" w14:textId="77777777" w:rsidR="007D3331" w:rsidRPr="00771B7E" w:rsidRDefault="007D3331" w:rsidP="00486888">
            <w:pPr>
              <w:rPr>
                <w:rFonts w:ascii="Arial" w:hAnsi="Arial" w:cs="Arial"/>
                <w:b/>
                <w:bCs/>
                <w:color w:val="000000"/>
                <w:sz w:val="18"/>
                <w:szCs w:val="18"/>
              </w:rPr>
            </w:pPr>
          </w:p>
        </w:tc>
        <w:tc>
          <w:tcPr>
            <w:tcW w:w="2819"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4DF68F39" w14:textId="77777777" w:rsidR="007D3331" w:rsidRPr="00771B7E" w:rsidRDefault="007D3331" w:rsidP="00486888">
            <w:pPr>
              <w:rPr>
                <w:rFonts w:ascii="Arial" w:hAnsi="Arial" w:cs="Arial"/>
                <w:b/>
                <w:bCs/>
                <w:color w:val="000000"/>
                <w:sz w:val="18"/>
                <w:szCs w:val="18"/>
              </w:rPr>
            </w:pPr>
          </w:p>
        </w:tc>
        <w:tc>
          <w:tcPr>
            <w:tcW w:w="4977"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14:paraId="06E15142" w14:textId="77777777" w:rsidR="007D3331" w:rsidRPr="00771B7E" w:rsidRDefault="007D3331" w:rsidP="00486888">
            <w:pPr>
              <w:rPr>
                <w:rFonts w:ascii="Arial" w:hAnsi="Arial" w:cs="Arial"/>
                <w:b/>
                <w:bCs/>
                <w:color w:val="000000"/>
                <w:sz w:val="18"/>
                <w:szCs w:val="18"/>
              </w:rPr>
            </w:pPr>
          </w:p>
        </w:tc>
      </w:tr>
      <w:tr w:rsidR="007D3331" w:rsidRPr="00771B7E" w14:paraId="03DEDD7A" w14:textId="77777777" w:rsidTr="00486888">
        <w:trPr>
          <w:trHeight w:val="335"/>
        </w:trPr>
        <w:tc>
          <w:tcPr>
            <w:tcW w:w="983" w:type="dxa"/>
            <w:vMerge w:val="restart"/>
            <w:tcBorders>
              <w:top w:val="nil"/>
              <w:left w:val="single" w:sz="4" w:space="0" w:color="auto"/>
              <w:right w:val="single" w:sz="4" w:space="0" w:color="auto"/>
            </w:tcBorders>
            <w:shd w:val="clear" w:color="000000" w:fill="FFFFFF"/>
            <w:vAlign w:val="center"/>
            <w:hideMark/>
          </w:tcPr>
          <w:p w14:paraId="78BDE6FA"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Grupo de Valor</w:t>
            </w:r>
          </w:p>
        </w:tc>
        <w:tc>
          <w:tcPr>
            <w:tcW w:w="2819" w:type="dxa"/>
            <w:tcBorders>
              <w:top w:val="nil"/>
              <w:left w:val="nil"/>
              <w:bottom w:val="single" w:sz="4" w:space="0" w:color="auto"/>
              <w:right w:val="single" w:sz="4" w:space="0" w:color="auto"/>
            </w:tcBorders>
            <w:shd w:val="clear" w:color="000000" w:fill="FFFFFF"/>
            <w:vAlign w:val="center"/>
            <w:hideMark/>
          </w:tcPr>
          <w:p w14:paraId="2853004E"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133F7101"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Maestros y Maestras del Distrito Capital (Docentes)</w:t>
            </w:r>
          </w:p>
        </w:tc>
      </w:tr>
      <w:tr w:rsidR="007D3331" w:rsidRPr="00771B7E" w14:paraId="2A061C1A" w14:textId="77777777" w:rsidTr="00486888">
        <w:trPr>
          <w:trHeight w:val="222"/>
        </w:trPr>
        <w:tc>
          <w:tcPr>
            <w:tcW w:w="983" w:type="dxa"/>
            <w:vMerge/>
            <w:tcBorders>
              <w:left w:val="single" w:sz="4" w:space="0" w:color="auto"/>
              <w:right w:val="single" w:sz="4" w:space="0" w:color="auto"/>
            </w:tcBorders>
            <w:shd w:val="clear" w:color="000000" w:fill="FFFFFF"/>
            <w:vAlign w:val="center"/>
          </w:tcPr>
          <w:p w14:paraId="17E347F2" w14:textId="77777777" w:rsidR="007D3331" w:rsidRPr="00771B7E" w:rsidRDefault="007D3331" w:rsidP="00486888">
            <w:pPr>
              <w:jc w:val="both"/>
              <w:rPr>
                <w:rFonts w:ascii="Arial" w:hAnsi="Arial" w:cs="Arial"/>
                <w:color w:val="000000"/>
                <w:sz w:val="18"/>
                <w:szCs w:val="18"/>
              </w:rPr>
            </w:pPr>
          </w:p>
        </w:tc>
        <w:tc>
          <w:tcPr>
            <w:tcW w:w="2819" w:type="dxa"/>
            <w:tcBorders>
              <w:top w:val="nil"/>
              <w:left w:val="nil"/>
              <w:bottom w:val="single" w:sz="4" w:space="0" w:color="auto"/>
              <w:right w:val="single" w:sz="4" w:space="0" w:color="auto"/>
            </w:tcBorders>
            <w:shd w:val="clear" w:color="000000" w:fill="FFFFFF"/>
            <w:vAlign w:val="center"/>
            <w:hideMark/>
          </w:tcPr>
          <w:p w14:paraId="054BD25A"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48D18C74"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Directivos Docentes</w:t>
            </w:r>
          </w:p>
        </w:tc>
      </w:tr>
      <w:tr w:rsidR="007D3331" w:rsidRPr="00771B7E" w14:paraId="546224E9" w14:textId="77777777" w:rsidTr="00486888">
        <w:trPr>
          <w:trHeight w:val="351"/>
        </w:trPr>
        <w:tc>
          <w:tcPr>
            <w:tcW w:w="983" w:type="dxa"/>
            <w:vMerge/>
            <w:tcBorders>
              <w:left w:val="single" w:sz="4" w:space="0" w:color="auto"/>
              <w:right w:val="single" w:sz="4" w:space="0" w:color="auto"/>
            </w:tcBorders>
            <w:shd w:val="clear" w:color="000000" w:fill="FFFFFF"/>
            <w:vAlign w:val="center"/>
          </w:tcPr>
          <w:p w14:paraId="4770E2BE" w14:textId="77777777" w:rsidR="007D3331" w:rsidRPr="00771B7E" w:rsidRDefault="007D3331" w:rsidP="00486888">
            <w:pPr>
              <w:jc w:val="both"/>
              <w:rPr>
                <w:rFonts w:ascii="Arial" w:hAnsi="Arial" w:cs="Arial"/>
                <w:color w:val="000000"/>
                <w:sz w:val="18"/>
                <w:szCs w:val="18"/>
              </w:rPr>
            </w:pPr>
          </w:p>
        </w:tc>
        <w:tc>
          <w:tcPr>
            <w:tcW w:w="2819" w:type="dxa"/>
            <w:tcBorders>
              <w:top w:val="nil"/>
              <w:left w:val="nil"/>
              <w:bottom w:val="single" w:sz="4" w:space="0" w:color="auto"/>
              <w:right w:val="single" w:sz="4" w:space="0" w:color="auto"/>
            </w:tcBorders>
            <w:shd w:val="clear" w:color="000000" w:fill="FFFFFF"/>
            <w:vAlign w:val="center"/>
            <w:hideMark/>
          </w:tcPr>
          <w:p w14:paraId="50B76FEF"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284E06A8"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Investigadores, Centros de Investigación y Académicos</w:t>
            </w:r>
          </w:p>
        </w:tc>
      </w:tr>
      <w:tr w:rsidR="007D3331" w:rsidRPr="00771B7E" w14:paraId="77540028" w14:textId="77777777" w:rsidTr="00486888">
        <w:trPr>
          <w:trHeight w:val="408"/>
        </w:trPr>
        <w:tc>
          <w:tcPr>
            <w:tcW w:w="983" w:type="dxa"/>
            <w:vMerge/>
            <w:tcBorders>
              <w:left w:val="single" w:sz="4" w:space="0" w:color="auto"/>
              <w:right w:val="single" w:sz="4" w:space="0" w:color="auto"/>
            </w:tcBorders>
            <w:shd w:val="clear" w:color="000000" w:fill="FFFFFF"/>
            <w:vAlign w:val="center"/>
          </w:tcPr>
          <w:p w14:paraId="542EDC3B" w14:textId="77777777" w:rsidR="007D3331" w:rsidRPr="00771B7E" w:rsidRDefault="007D3331" w:rsidP="00486888">
            <w:pPr>
              <w:jc w:val="both"/>
              <w:rPr>
                <w:rFonts w:ascii="Arial" w:hAnsi="Arial" w:cs="Arial"/>
                <w:color w:val="000000"/>
                <w:sz w:val="18"/>
                <w:szCs w:val="18"/>
              </w:rPr>
            </w:pPr>
          </w:p>
        </w:tc>
        <w:tc>
          <w:tcPr>
            <w:tcW w:w="2819" w:type="dxa"/>
            <w:tcBorders>
              <w:top w:val="nil"/>
              <w:left w:val="nil"/>
              <w:bottom w:val="single" w:sz="4" w:space="0" w:color="auto"/>
              <w:right w:val="single" w:sz="4" w:space="0" w:color="auto"/>
            </w:tcBorders>
            <w:shd w:val="clear" w:color="000000" w:fill="FFFFFF"/>
            <w:vAlign w:val="center"/>
            <w:hideMark/>
          </w:tcPr>
          <w:p w14:paraId="24C39841"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Beneficiarios</w:t>
            </w:r>
          </w:p>
        </w:tc>
        <w:tc>
          <w:tcPr>
            <w:tcW w:w="4977" w:type="dxa"/>
            <w:tcBorders>
              <w:top w:val="nil"/>
              <w:left w:val="nil"/>
              <w:bottom w:val="single" w:sz="4" w:space="0" w:color="auto"/>
              <w:right w:val="single" w:sz="4" w:space="0" w:color="auto"/>
            </w:tcBorders>
            <w:shd w:val="clear" w:color="auto" w:fill="auto"/>
            <w:vAlign w:val="center"/>
            <w:hideMark/>
          </w:tcPr>
          <w:p w14:paraId="7EB4C0C3"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Instituciones educativas, colegios, escuelas normales, estudiantes y facultades de educación.</w:t>
            </w:r>
          </w:p>
        </w:tc>
      </w:tr>
      <w:tr w:rsidR="007D3331" w:rsidRPr="00771B7E" w14:paraId="6E87E3F9" w14:textId="77777777" w:rsidTr="00486888">
        <w:trPr>
          <w:trHeight w:val="2053"/>
        </w:trPr>
        <w:tc>
          <w:tcPr>
            <w:tcW w:w="983" w:type="dxa"/>
            <w:vMerge/>
            <w:tcBorders>
              <w:left w:val="single" w:sz="4" w:space="0" w:color="auto"/>
              <w:bottom w:val="single" w:sz="4" w:space="0" w:color="auto"/>
              <w:right w:val="single" w:sz="4" w:space="0" w:color="auto"/>
            </w:tcBorders>
            <w:shd w:val="clear" w:color="000000" w:fill="FFFFFF"/>
            <w:vAlign w:val="center"/>
          </w:tcPr>
          <w:p w14:paraId="6C970088" w14:textId="77777777" w:rsidR="007D3331" w:rsidRPr="00771B7E" w:rsidRDefault="007D3331" w:rsidP="00486888">
            <w:pPr>
              <w:jc w:val="both"/>
              <w:rPr>
                <w:rFonts w:ascii="Arial" w:hAnsi="Arial" w:cs="Arial"/>
                <w:color w:val="000000"/>
                <w:sz w:val="18"/>
                <w:szCs w:val="18"/>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77FC40F0"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Organizaciones sociales representativas de la comunidad</w:t>
            </w:r>
          </w:p>
        </w:tc>
        <w:tc>
          <w:tcPr>
            <w:tcW w:w="4977" w:type="dxa"/>
            <w:tcBorders>
              <w:top w:val="nil"/>
              <w:left w:val="nil"/>
              <w:bottom w:val="single" w:sz="4" w:space="0" w:color="auto"/>
              <w:right w:val="single" w:sz="4" w:space="0" w:color="auto"/>
            </w:tcBorders>
            <w:shd w:val="clear" w:color="auto" w:fill="auto"/>
            <w:vAlign w:val="center"/>
            <w:hideMark/>
          </w:tcPr>
          <w:p w14:paraId="235427CF" w14:textId="141FD894" w:rsidR="007D3331" w:rsidRPr="00771B7E" w:rsidRDefault="007D3331" w:rsidP="00486888">
            <w:pPr>
              <w:rPr>
                <w:rFonts w:ascii="Arial" w:hAnsi="Arial" w:cs="Arial"/>
                <w:color w:val="000000"/>
                <w:sz w:val="18"/>
                <w:szCs w:val="18"/>
              </w:rPr>
            </w:pPr>
            <w:r w:rsidRPr="00E85F82">
              <w:rPr>
                <w:rFonts w:ascii="Arial" w:hAnsi="Arial" w:cs="Arial"/>
                <w:sz w:val="18"/>
                <w:szCs w:val="18"/>
              </w:rPr>
              <w:t xml:space="preserve">Redes y colectivos </w:t>
            </w:r>
            <w:r w:rsidR="00E85F82" w:rsidRPr="00E85F82">
              <w:rPr>
                <w:rFonts w:ascii="Arial" w:hAnsi="Arial" w:cs="Arial"/>
                <w:sz w:val="18"/>
                <w:szCs w:val="18"/>
              </w:rPr>
              <w:t>de docentes</w:t>
            </w:r>
            <w:r w:rsidRPr="00771B7E">
              <w:rPr>
                <w:rFonts w:ascii="Arial" w:hAnsi="Arial" w:cs="Arial"/>
                <w:color w:val="000000"/>
                <w:sz w:val="18"/>
                <w:szCs w:val="18"/>
              </w:rPr>
              <w:br/>
              <w:t>Fundación RED ELEGGUA</w:t>
            </w:r>
            <w:r w:rsidRPr="00771B7E">
              <w:rPr>
                <w:rFonts w:ascii="Arial" w:hAnsi="Arial" w:cs="Arial"/>
                <w:color w:val="000000"/>
                <w:sz w:val="18"/>
                <w:szCs w:val="18"/>
              </w:rPr>
              <w:br/>
              <w:t>Red de universidades para fomento de la investigación en tecnologías de la información y la comunicación UXTIC</w:t>
            </w:r>
            <w:r w:rsidRPr="00771B7E">
              <w:rPr>
                <w:rFonts w:ascii="Arial" w:hAnsi="Arial" w:cs="Arial"/>
                <w:color w:val="000000"/>
                <w:sz w:val="18"/>
                <w:szCs w:val="18"/>
              </w:rPr>
              <w:br/>
              <w:t>Red Distrital de docentes investigadores</w:t>
            </w:r>
            <w:r w:rsidRPr="00771B7E">
              <w:rPr>
                <w:rFonts w:ascii="Arial" w:hAnsi="Arial" w:cs="Arial"/>
                <w:color w:val="000000"/>
                <w:sz w:val="18"/>
                <w:szCs w:val="18"/>
              </w:rPr>
              <w:br/>
              <w:t>Red Estrado</w:t>
            </w:r>
            <w:r w:rsidRPr="00771B7E">
              <w:rPr>
                <w:rFonts w:ascii="Arial" w:hAnsi="Arial" w:cs="Arial"/>
                <w:color w:val="000000"/>
                <w:sz w:val="18"/>
                <w:szCs w:val="18"/>
              </w:rPr>
              <w:br/>
              <w:t xml:space="preserve">Red Iberoamericana de Pedagogía, REDIPE </w:t>
            </w:r>
            <w:r w:rsidRPr="00771B7E">
              <w:rPr>
                <w:rFonts w:ascii="Arial" w:hAnsi="Arial" w:cs="Arial"/>
                <w:color w:val="000000"/>
                <w:sz w:val="18"/>
                <w:szCs w:val="18"/>
              </w:rPr>
              <w:br/>
              <w:t>Red Iberoamericana de Informática Educativa - RIBIE</w:t>
            </w:r>
            <w:r w:rsidRPr="00771B7E">
              <w:rPr>
                <w:rFonts w:ascii="Arial" w:hAnsi="Arial" w:cs="Arial"/>
                <w:color w:val="000000"/>
                <w:sz w:val="18"/>
                <w:szCs w:val="18"/>
              </w:rPr>
              <w:br/>
              <w:t>Red Académica</w:t>
            </w:r>
          </w:p>
        </w:tc>
      </w:tr>
      <w:tr w:rsidR="007D3331" w:rsidRPr="00771B7E" w14:paraId="0512DB11" w14:textId="77777777" w:rsidTr="00486888">
        <w:trPr>
          <w:trHeight w:val="463"/>
        </w:trPr>
        <w:tc>
          <w:tcPr>
            <w:tcW w:w="983" w:type="dxa"/>
            <w:vMerge w:val="restart"/>
            <w:tcBorders>
              <w:top w:val="nil"/>
              <w:left w:val="single" w:sz="4" w:space="0" w:color="auto"/>
              <w:right w:val="single" w:sz="4" w:space="0" w:color="auto"/>
            </w:tcBorders>
            <w:shd w:val="clear" w:color="000000" w:fill="FFFFFF"/>
            <w:vAlign w:val="center"/>
            <w:hideMark/>
          </w:tcPr>
          <w:p w14:paraId="6E41B500"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Grupo de Interés</w:t>
            </w:r>
          </w:p>
        </w:tc>
        <w:tc>
          <w:tcPr>
            <w:tcW w:w="2819" w:type="dxa"/>
            <w:tcBorders>
              <w:top w:val="nil"/>
              <w:left w:val="nil"/>
              <w:bottom w:val="single" w:sz="4" w:space="0" w:color="auto"/>
              <w:right w:val="single" w:sz="4" w:space="0" w:color="auto"/>
            </w:tcBorders>
            <w:shd w:val="clear" w:color="000000" w:fill="FFFFFF"/>
            <w:vAlign w:val="center"/>
            <w:hideMark/>
          </w:tcPr>
          <w:p w14:paraId="69C9B06B"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Representantes de los gremios y la academia</w:t>
            </w:r>
          </w:p>
        </w:tc>
        <w:tc>
          <w:tcPr>
            <w:tcW w:w="4977" w:type="dxa"/>
            <w:tcBorders>
              <w:top w:val="nil"/>
              <w:left w:val="nil"/>
              <w:bottom w:val="single" w:sz="4" w:space="0" w:color="auto"/>
              <w:right w:val="single" w:sz="4" w:space="0" w:color="auto"/>
            </w:tcBorders>
            <w:shd w:val="clear" w:color="auto" w:fill="auto"/>
            <w:vAlign w:val="center"/>
            <w:hideMark/>
          </w:tcPr>
          <w:p w14:paraId="7981D69A"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Otras entidades y asociados que trabajan temas de educación y pedagogía</w:t>
            </w:r>
          </w:p>
        </w:tc>
      </w:tr>
      <w:tr w:rsidR="007D3331" w:rsidRPr="00771B7E" w14:paraId="5A5BE70A" w14:textId="77777777" w:rsidTr="00486888">
        <w:trPr>
          <w:trHeight w:val="413"/>
        </w:trPr>
        <w:tc>
          <w:tcPr>
            <w:tcW w:w="983" w:type="dxa"/>
            <w:vMerge/>
            <w:tcBorders>
              <w:left w:val="single" w:sz="4" w:space="0" w:color="auto"/>
              <w:right w:val="single" w:sz="4" w:space="0" w:color="auto"/>
            </w:tcBorders>
            <w:shd w:val="clear" w:color="000000" w:fill="FFFFFF"/>
            <w:vAlign w:val="center"/>
            <w:hideMark/>
          </w:tcPr>
          <w:p w14:paraId="3F6ADE3D" w14:textId="77777777" w:rsidR="007D3331" w:rsidRPr="00771B7E" w:rsidRDefault="007D3331" w:rsidP="00486888">
            <w:pPr>
              <w:jc w:val="both"/>
              <w:rPr>
                <w:rFonts w:ascii="Arial" w:hAnsi="Arial" w:cs="Arial"/>
                <w:color w:val="000000"/>
                <w:sz w:val="18"/>
                <w:szCs w:val="18"/>
              </w:rPr>
            </w:pPr>
          </w:p>
        </w:tc>
        <w:tc>
          <w:tcPr>
            <w:tcW w:w="2819" w:type="dxa"/>
            <w:tcBorders>
              <w:top w:val="nil"/>
              <w:left w:val="nil"/>
              <w:bottom w:val="single" w:sz="4" w:space="0" w:color="auto"/>
              <w:right w:val="single" w:sz="4" w:space="0" w:color="auto"/>
            </w:tcBorders>
            <w:shd w:val="clear" w:color="000000" w:fill="FFFFFF"/>
            <w:vAlign w:val="center"/>
            <w:hideMark/>
          </w:tcPr>
          <w:p w14:paraId="01DC9372"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Representantes de los gremios y la academia</w:t>
            </w:r>
          </w:p>
        </w:tc>
        <w:tc>
          <w:tcPr>
            <w:tcW w:w="4977" w:type="dxa"/>
            <w:tcBorders>
              <w:top w:val="nil"/>
              <w:left w:val="nil"/>
              <w:bottom w:val="single" w:sz="4" w:space="0" w:color="auto"/>
              <w:right w:val="single" w:sz="4" w:space="0" w:color="auto"/>
            </w:tcBorders>
            <w:shd w:val="clear" w:color="auto" w:fill="auto"/>
            <w:vAlign w:val="center"/>
            <w:hideMark/>
          </w:tcPr>
          <w:p w14:paraId="06112242"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Bibliotecas Públicas escolares y</w:t>
            </w:r>
            <w:r w:rsidRPr="00771B7E">
              <w:rPr>
                <w:rFonts w:ascii="Arial" w:hAnsi="Arial" w:cs="Arial"/>
                <w:color w:val="000000"/>
                <w:sz w:val="18"/>
                <w:szCs w:val="18"/>
              </w:rPr>
              <w:br/>
              <w:t>universitarias</w:t>
            </w:r>
          </w:p>
        </w:tc>
      </w:tr>
      <w:tr w:rsidR="007D3331" w:rsidRPr="00771B7E" w14:paraId="03F15129" w14:textId="77777777" w:rsidTr="00486888">
        <w:trPr>
          <w:trHeight w:val="1823"/>
        </w:trPr>
        <w:tc>
          <w:tcPr>
            <w:tcW w:w="983" w:type="dxa"/>
            <w:vMerge/>
            <w:tcBorders>
              <w:left w:val="single" w:sz="4" w:space="0" w:color="auto"/>
              <w:right w:val="single" w:sz="4" w:space="0" w:color="auto"/>
            </w:tcBorders>
            <w:shd w:val="clear" w:color="000000" w:fill="FFFFFF"/>
            <w:vAlign w:val="center"/>
            <w:hideMark/>
          </w:tcPr>
          <w:p w14:paraId="12BB49C9" w14:textId="77777777" w:rsidR="007D3331" w:rsidRPr="00771B7E" w:rsidRDefault="007D3331" w:rsidP="00486888">
            <w:pPr>
              <w:jc w:val="both"/>
              <w:rPr>
                <w:rFonts w:ascii="Arial" w:hAnsi="Arial" w:cs="Arial"/>
                <w:color w:val="000000"/>
                <w:sz w:val="18"/>
                <w:szCs w:val="18"/>
              </w:rPr>
            </w:pPr>
          </w:p>
        </w:tc>
        <w:tc>
          <w:tcPr>
            <w:tcW w:w="2819" w:type="dxa"/>
            <w:tcBorders>
              <w:top w:val="nil"/>
              <w:left w:val="nil"/>
              <w:bottom w:val="single" w:sz="4" w:space="0" w:color="auto"/>
              <w:right w:val="single" w:sz="4" w:space="0" w:color="auto"/>
            </w:tcBorders>
            <w:shd w:val="clear" w:color="000000" w:fill="FFFFFF"/>
            <w:vAlign w:val="center"/>
            <w:hideMark/>
          </w:tcPr>
          <w:p w14:paraId="360A6270"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Entidades estatales del nivel nacional y Distrital</w:t>
            </w:r>
          </w:p>
        </w:tc>
        <w:tc>
          <w:tcPr>
            <w:tcW w:w="4977" w:type="dxa"/>
            <w:tcBorders>
              <w:top w:val="nil"/>
              <w:left w:val="nil"/>
              <w:bottom w:val="single" w:sz="4" w:space="0" w:color="auto"/>
              <w:right w:val="single" w:sz="4" w:space="0" w:color="auto"/>
            </w:tcBorders>
            <w:shd w:val="clear" w:color="auto" w:fill="auto"/>
            <w:vAlign w:val="center"/>
            <w:hideMark/>
          </w:tcPr>
          <w:p w14:paraId="476F21ED"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Alta consejería de TIC</w:t>
            </w:r>
          </w:p>
          <w:p w14:paraId="0D7566A1"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t>Ministerio de Educación Nacional</w:t>
            </w:r>
          </w:p>
          <w:p w14:paraId="6BEEE6AF"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t>Región Administrativa de Planeación Especial RAPE</w:t>
            </w:r>
          </w:p>
          <w:p w14:paraId="4714AA41"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t xml:space="preserve">Servicio Nacional de Aprendizaje SENA </w:t>
            </w:r>
          </w:p>
          <w:p w14:paraId="7ED461FE"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Universidad Nacional de Colombia</w:t>
            </w:r>
            <w:r w:rsidRPr="00771B7E">
              <w:rPr>
                <w:rFonts w:ascii="Arial" w:hAnsi="Arial" w:cs="Arial"/>
                <w:color w:val="000000"/>
                <w:sz w:val="18"/>
                <w:szCs w:val="18"/>
              </w:rPr>
              <w:br w:type="page"/>
            </w:r>
          </w:p>
          <w:p w14:paraId="34C03A12"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Universidad Pedagógica Nacional</w:t>
            </w:r>
          </w:p>
          <w:p w14:paraId="4D80947D"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t>Concejo de Bogotá D. C.</w:t>
            </w:r>
          </w:p>
          <w:p w14:paraId="58CD51FB"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Secretaría Distrital de Cultura, Recreación y Deporte</w:t>
            </w:r>
            <w:r w:rsidRPr="00771B7E">
              <w:rPr>
                <w:rFonts w:ascii="Arial" w:hAnsi="Arial" w:cs="Arial"/>
                <w:color w:val="000000"/>
                <w:sz w:val="18"/>
                <w:szCs w:val="18"/>
              </w:rPr>
              <w:br w:type="page"/>
            </w:r>
          </w:p>
          <w:p w14:paraId="57CEEA77"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Secretaría General de la Alcaldía Mayor de Bogotá</w:t>
            </w:r>
            <w:r w:rsidRPr="00771B7E">
              <w:rPr>
                <w:rFonts w:ascii="Arial" w:hAnsi="Arial" w:cs="Arial"/>
                <w:color w:val="000000"/>
                <w:sz w:val="18"/>
                <w:szCs w:val="18"/>
              </w:rPr>
              <w:br w:type="page"/>
            </w:r>
          </w:p>
          <w:p w14:paraId="3805C0BB"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 xml:space="preserve">Secretaría de Educación del  Distrito </w:t>
            </w:r>
          </w:p>
          <w:p w14:paraId="4FBF962E"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r>
            <w:r w:rsidRPr="00771B7E">
              <w:rPr>
                <w:rFonts w:ascii="Arial" w:hAnsi="Arial" w:cs="Arial"/>
                <w:color w:val="000000"/>
                <w:sz w:val="18"/>
                <w:szCs w:val="18"/>
              </w:rPr>
              <w:br w:type="page"/>
              <w:t>Universidad Distrital Francisco José de Caldas</w:t>
            </w:r>
          </w:p>
        </w:tc>
      </w:tr>
      <w:tr w:rsidR="007D3331" w:rsidRPr="00771B7E" w14:paraId="66DB4EC1" w14:textId="77777777" w:rsidTr="00486888">
        <w:trPr>
          <w:trHeight w:val="957"/>
        </w:trPr>
        <w:tc>
          <w:tcPr>
            <w:tcW w:w="983" w:type="dxa"/>
            <w:vMerge/>
            <w:tcBorders>
              <w:left w:val="single" w:sz="4" w:space="0" w:color="auto"/>
              <w:right w:val="single" w:sz="4" w:space="0" w:color="auto"/>
            </w:tcBorders>
            <w:shd w:val="clear" w:color="000000" w:fill="FFFFFF"/>
            <w:vAlign w:val="center"/>
            <w:hideMark/>
          </w:tcPr>
          <w:p w14:paraId="5BC33B54" w14:textId="77777777" w:rsidR="007D3331" w:rsidRPr="00771B7E" w:rsidRDefault="007D3331" w:rsidP="00486888">
            <w:pPr>
              <w:jc w:val="both"/>
              <w:rPr>
                <w:rFonts w:ascii="Arial" w:hAnsi="Arial" w:cs="Arial"/>
                <w:color w:val="000000"/>
                <w:sz w:val="18"/>
                <w:szCs w:val="18"/>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6BC7F083"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Entidades estatales  internacional</w:t>
            </w:r>
          </w:p>
        </w:tc>
        <w:tc>
          <w:tcPr>
            <w:tcW w:w="4977" w:type="dxa"/>
            <w:tcBorders>
              <w:top w:val="nil"/>
              <w:left w:val="nil"/>
              <w:bottom w:val="single" w:sz="4" w:space="0" w:color="auto"/>
              <w:right w:val="single" w:sz="4" w:space="0" w:color="auto"/>
            </w:tcBorders>
            <w:shd w:val="clear" w:color="auto" w:fill="auto"/>
            <w:vAlign w:val="center"/>
            <w:hideMark/>
          </w:tcPr>
          <w:p w14:paraId="7062BA1D"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Universidad Nacional Autónoma de México</w:t>
            </w:r>
          </w:p>
          <w:p w14:paraId="168AD35D"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Instituto Pensamiento y Cultura en América Latina IPECAL</w:t>
            </w:r>
            <w:r w:rsidRPr="00771B7E">
              <w:rPr>
                <w:rFonts w:ascii="Arial" w:hAnsi="Arial" w:cs="Arial"/>
                <w:color w:val="000000"/>
                <w:sz w:val="18"/>
                <w:szCs w:val="18"/>
              </w:rPr>
              <w:br/>
              <w:t>Universidad Nacional de San Martín, Argentina</w:t>
            </w:r>
          </w:p>
        </w:tc>
      </w:tr>
      <w:tr w:rsidR="007D3331" w:rsidRPr="00771B7E" w14:paraId="6A047949" w14:textId="77777777" w:rsidTr="00486888">
        <w:trPr>
          <w:trHeight w:val="628"/>
        </w:trPr>
        <w:tc>
          <w:tcPr>
            <w:tcW w:w="983" w:type="dxa"/>
            <w:vMerge/>
            <w:tcBorders>
              <w:left w:val="single" w:sz="4" w:space="0" w:color="auto"/>
              <w:right w:val="single" w:sz="4" w:space="0" w:color="auto"/>
            </w:tcBorders>
            <w:shd w:val="clear" w:color="000000" w:fill="FFFFFF"/>
            <w:vAlign w:val="center"/>
            <w:hideMark/>
          </w:tcPr>
          <w:p w14:paraId="06693642" w14:textId="77777777" w:rsidR="007D3331" w:rsidRPr="00771B7E" w:rsidRDefault="007D3331" w:rsidP="00486888">
            <w:pPr>
              <w:jc w:val="both"/>
              <w:rPr>
                <w:rFonts w:ascii="Arial" w:hAnsi="Arial" w:cs="Arial"/>
                <w:color w:val="000000"/>
                <w:sz w:val="18"/>
                <w:szCs w:val="18"/>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0D5323EC" w14:textId="77777777" w:rsidR="007D3331" w:rsidRPr="00771B7E" w:rsidRDefault="007D3331" w:rsidP="00486888">
            <w:pPr>
              <w:rPr>
                <w:rFonts w:ascii="Arial" w:hAnsi="Arial" w:cs="Arial"/>
                <w:color w:val="000000"/>
                <w:sz w:val="18"/>
                <w:szCs w:val="18"/>
              </w:rPr>
            </w:pPr>
            <w:r w:rsidRPr="00771B7E">
              <w:rPr>
                <w:rFonts w:ascii="Arial" w:hAnsi="Arial" w:cs="Arial"/>
                <w:color w:val="000000"/>
                <w:sz w:val="18"/>
                <w:szCs w:val="18"/>
              </w:rPr>
              <w:t>Organismos de control</w:t>
            </w:r>
          </w:p>
        </w:tc>
        <w:tc>
          <w:tcPr>
            <w:tcW w:w="4977" w:type="dxa"/>
            <w:tcBorders>
              <w:top w:val="nil"/>
              <w:left w:val="nil"/>
              <w:bottom w:val="single" w:sz="4" w:space="0" w:color="auto"/>
              <w:right w:val="single" w:sz="4" w:space="0" w:color="auto"/>
            </w:tcBorders>
            <w:shd w:val="clear" w:color="auto" w:fill="auto"/>
            <w:vAlign w:val="center"/>
            <w:hideMark/>
          </w:tcPr>
          <w:p w14:paraId="4995D313" w14:textId="77777777" w:rsidR="007D3331" w:rsidRPr="00771B7E" w:rsidRDefault="007D3331" w:rsidP="00486888">
            <w:pPr>
              <w:rPr>
                <w:rFonts w:ascii="Arial" w:hAnsi="Arial" w:cs="Arial"/>
                <w:color w:val="000000"/>
                <w:sz w:val="18"/>
                <w:szCs w:val="18"/>
              </w:rPr>
            </w:pPr>
            <w:r w:rsidRPr="00771B7E">
              <w:rPr>
                <w:rFonts w:ascii="Arial" w:hAnsi="Arial" w:cs="Arial"/>
                <w:color w:val="000000"/>
                <w:sz w:val="18"/>
                <w:szCs w:val="18"/>
              </w:rPr>
              <w:t>Procuraduría General de la Nación</w:t>
            </w:r>
          </w:p>
          <w:p w14:paraId="13CF5E8A" w14:textId="77777777" w:rsidR="007D3331" w:rsidRPr="00771B7E" w:rsidRDefault="007D3331" w:rsidP="00486888">
            <w:pPr>
              <w:rPr>
                <w:rFonts w:ascii="Arial" w:hAnsi="Arial" w:cs="Arial"/>
                <w:color w:val="000000"/>
                <w:sz w:val="18"/>
                <w:szCs w:val="18"/>
              </w:rPr>
            </w:pPr>
            <w:r w:rsidRPr="00771B7E">
              <w:rPr>
                <w:rFonts w:ascii="Arial" w:hAnsi="Arial" w:cs="Arial"/>
                <w:color w:val="000000"/>
                <w:sz w:val="18"/>
                <w:szCs w:val="18"/>
              </w:rPr>
              <w:t xml:space="preserve">Contraloría General de la República </w:t>
            </w:r>
          </w:p>
          <w:p w14:paraId="156A976C" w14:textId="77777777" w:rsidR="007D3331" w:rsidRPr="00771B7E" w:rsidRDefault="007D3331" w:rsidP="00486888">
            <w:pPr>
              <w:rPr>
                <w:rFonts w:ascii="Arial" w:hAnsi="Arial" w:cs="Arial"/>
                <w:color w:val="000000"/>
                <w:sz w:val="18"/>
                <w:szCs w:val="18"/>
              </w:rPr>
            </w:pPr>
            <w:r w:rsidRPr="00771B7E">
              <w:rPr>
                <w:rFonts w:ascii="Arial" w:hAnsi="Arial" w:cs="Arial"/>
                <w:color w:val="000000"/>
                <w:sz w:val="18"/>
                <w:szCs w:val="18"/>
              </w:rPr>
              <w:t>Contraloría de Bogotá</w:t>
            </w:r>
          </w:p>
          <w:p w14:paraId="353FC20F" w14:textId="77777777" w:rsidR="007D3331" w:rsidRPr="00771B7E" w:rsidRDefault="007D3331" w:rsidP="00486888">
            <w:pPr>
              <w:rPr>
                <w:rFonts w:ascii="Arial" w:hAnsi="Arial" w:cs="Arial"/>
                <w:color w:val="000000"/>
                <w:sz w:val="18"/>
                <w:szCs w:val="18"/>
              </w:rPr>
            </w:pPr>
            <w:r w:rsidRPr="00771B7E">
              <w:rPr>
                <w:rFonts w:ascii="Arial" w:hAnsi="Arial" w:cs="Arial"/>
                <w:color w:val="000000"/>
                <w:sz w:val="18"/>
                <w:szCs w:val="18"/>
              </w:rPr>
              <w:t>Personería de Bogotá.</w:t>
            </w:r>
          </w:p>
        </w:tc>
      </w:tr>
      <w:tr w:rsidR="007D3331" w:rsidRPr="00771B7E" w14:paraId="078F6713" w14:textId="77777777" w:rsidTr="00486888">
        <w:trPr>
          <w:trHeight w:val="344"/>
        </w:trPr>
        <w:tc>
          <w:tcPr>
            <w:tcW w:w="983" w:type="dxa"/>
            <w:vMerge/>
            <w:tcBorders>
              <w:left w:val="single" w:sz="4" w:space="0" w:color="auto"/>
              <w:bottom w:val="single" w:sz="4" w:space="0" w:color="auto"/>
              <w:right w:val="single" w:sz="4" w:space="0" w:color="auto"/>
            </w:tcBorders>
            <w:shd w:val="clear" w:color="000000" w:fill="FFFFFF"/>
            <w:vAlign w:val="center"/>
            <w:hideMark/>
          </w:tcPr>
          <w:p w14:paraId="48ADDC6E" w14:textId="77777777" w:rsidR="007D3331" w:rsidRPr="00771B7E" w:rsidRDefault="007D3331" w:rsidP="00486888">
            <w:pPr>
              <w:jc w:val="both"/>
              <w:rPr>
                <w:rFonts w:ascii="Arial" w:hAnsi="Arial" w:cs="Arial"/>
                <w:sz w:val="18"/>
                <w:szCs w:val="18"/>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50EE4BEA" w14:textId="77777777" w:rsidR="007D3331" w:rsidRPr="00771B7E" w:rsidRDefault="007D3331" w:rsidP="00486888">
            <w:pPr>
              <w:rPr>
                <w:rFonts w:ascii="Arial" w:hAnsi="Arial" w:cs="Arial"/>
                <w:sz w:val="18"/>
                <w:szCs w:val="18"/>
              </w:rPr>
            </w:pPr>
            <w:r w:rsidRPr="00771B7E">
              <w:rPr>
                <w:rFonts w:ascii="Arial" w:hAnsi="Arial" w:cs="Arial"/>
                <w:sz w:val="18"/>
                <w:szCs w:val="18"/>
              </w:rPr>
              <w:t xml:space="preserve">Servidores públicos y contratistas </w:t>
            </w:r>
          </w:p>
        </w:tc>
        <w:tc>
          <w:tcPr>
            <w:tcW w:w="4977" w:type="dxa"/>
            <w:tcBorders>
              <w:top w:val="nil"/>
              <w:left w:val="nil"/>
              <w:bottom w:val="single" w:sz="4" w:space="0" w:color="auto"/>
              <w:right w:val="single" w:sz="4" w:space="0" w:color="auto"/>
            </w:tcBorders>
            <w:shd w:val="clear" w:color="000000" w:fill="FFFFFF"/>
            <w:vAlign w:val="center"/>
            <w:hideMark/>
          </w:tcPr>
          <w:p w14:paraId="60E335AF" w14:textId="77777777" w:rsidR="007D3331" w:rsidRPr="00771B7E" w:rsidRDefault="007D3331" w:rsidP="00486888">
            <w:pPr>
              <w:rPr>
                <w:rFonts w:ascii="Arial" w:hAnsi="Arial" w:cs="Arial"/>
                <w:sz w:val="18"/>
                <w:szCs w:val="18"/>
              </w:rPr>
            </w:pPr>
            <w:r w:rsidRPr="00771B7E">
              <w:rPr>
                <w:rFonts w:ascii="Arial" w:hAnsi="Arial" w:cs="Arial"/>
                <w:sz w:val="18"/>
                <w:szCs w:val="18"/>
              </w:rPr>
              <w:t xml:space="preserve">Servidores públicos y contratistas  del IDEP </w:t>
            </w:r>
          </w:p>
        </w:tc>
      </w:tr>
      <w:tr w:rsidR="007D3331" w:rsidRPr="00771B7E" w14:paraId="1C005A1F" w14:textId="77777777" w:rsidTr="00486888">
        <w:trPr>
          <w:trHeight w:val="770"/>
        </w:trPr>
        <w:tc>
          <w:tcPr>
            <w:tcW w:w="983" w:type="dxa"/>
            <w:vMerge w:val="restart"/>
            <w:tcBorders>
              <w:top w:val="nil"/>
              <w:left w:val="single" w:sz="4" w:space="0" w:color="auto"/>
              <w:right w:val="nil"/>
            </w:tcBorders>
            <w:shd w:val="clear" w:color="000000" w:fill="FFFFFF"/>
            <w:vAlign w:val="center"/>
            <w:hideMark/>
          </w:tcPr>
          <w:p w14:paraId="2371F7FB"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Parte interesada</w:t>
            </w: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664314E0"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Personas interesadas</w:t>
            </w:r>
          </w:p>
        </w:tc>
        <w:tc>
          <w:tcPr>
            <w:tcW w:w="4977" w:type="dxa"/>
            <w:tcBorders>
              <w:top w:val="nil"/>
              <w:left w:val="nil"/>
              <w:bottom w:val="single" w:sz="4" w:space="0" w:color="auto"/>
              <w:right w:val="single" w:sz="4" w:space="0" w:color="auto"/>
            </w:tcBorders>
            <w:shd w:val="clear" w:color="auto" w:fill="auto"/>
            <w:vAlign w:val="center"/>
            <w:hideMark/>
          </w:tcPr>
          <w:p w14:paraId="3684B429"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Ciudadanos (Infancia, juventud, adulto mayor, grupos étnicos, cabeza de familia, persona en condición de discapacidad, desplazados, víctima y adulto)</w:t>
            </w:r>
          </w:p>
        </w:tc>
      </w:tr>
      <w:tr w:rsidR="007D3331" w:rsidRPr="00771B7E" w14:paraId="717EABCC" w14:textId="77777777" w:rsidTr="00486888">
        <w:trPr>
          <w:trHeight w:val="869"/>
        </w:trPr>
        <w:tc>
          <w:tcPr>
            <w:tcW w:w="983" w:type="dxa"/>
            <w:vMerge/>
            <w:tcBorders>
              <w:left w:val="single" w:sz="4" w:space="0" w:color="auto"/>
              <w:right w:val="nil"/>
            </w:tcBorders>
            <w:shd w:val="clear" w:color="000000" w:fill="FFFFFF"/>
            <w:vAlign w:val="center"/>
            <w:hideMark/>
          </w:tcPr>
          <w:p w14:paraId="548E06D7" w14:textId="77777777" w:rsidR="007D3331" w:rsidRPr="00771B7E" w:rsidRDefault="007D3331" w:rsidP="00486888">
            <w:pPr>
              <w:jc w:val="both"/>
              <w:rPr>
                <w:rFonts w:ascii="Arial" w:hAnsi="Arial" w:cs="Arial"/>
                <w:color w:val="000000"/>
                <w:sz w:val="18"/>
                <w:szCs w:val="18"/>
              </w:rPr>
            </w:pPr>
          </w:p>
        </w:tc>
        <w:tc>
          <w:tcPr>
            <w:tcW w:w="2819" w:type="dxa"/>
            <w:tcBorders>
              <w:top w:val="nil"/>
              <w:left w:val="single" w:sz="4" w:space="0" w:color="auto"/>
              <w:bottom w:val="single" w:sz="4" w:space="0" w:color="auto"/>
              <w:right w:val="single" w:sz="4" w:space="0" w:color="auto"/>
            </w:tcBorders>
            <w:shd w:val="clear" w:color="000000" w:fill="FFFFFF"/>
            <w:vAlign w:val="center"/>
            <w:hideMark/>
          </w:tcPr>
          <w:p w14:paraId="67A94D0E"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Organizaciones no gubernamentales</w:t>
            </w:r>
          </w:p>
        </w:tc>
        <w:tc>
          <w:tcPr>
            <w:tcW w:w="4977" w:type="dxa"/>
            <w:tcBorders>
              <w:top w:val="nil"/>
              <w:left w:val="nil"/>
              <w:bottom w:val="single" w:sz="4" w:space="0" w:color="auto"/>
              <w:right w:val="single" w:sz="4" w:space="0" w:color="auto"/>
            </w:tcBorders>
            <w:shd w:val="clear" w:color="auto" w:fill="auto"/>
            <w:vAlign w:val="center"/>
            <w:hideMark/>
          </w:tcPr>
          <w:p w14:paraId="64FE01F4"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Avance la Ciencia y la tecnología</w:t>
            </w:r>
          </w:p>
          <w:p w14:paraId="7F9DCEBE"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t>Centro de investigación y educación popular CINEP</w:t>
            </w:r>
          </w:p>
          <w:p w14:paraId="64115ECF"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br w:type="page"/>
              <w:t>Consejo Latinoamericano de Ciencias Sociales CLACSO</w:t>
            </w:r>
            <w:r w:rsidRPr="00771B7E">
              <w:rPr>
                <w:rFonts w:ascii="Arial" w:hAnsi="Arial" w:cs="Arial"/>
                <w:color w:val="000000"/>
                <w:sz w:val="18"/>
                <w:szCs w:val="18"/>
              </w:rPr>
              <w:br w:type="page"/>
              <w:t xml:space="preserve"> </w:t>
            </w:r>
          </w:p>
          <w:p w14:paraId="096F1AEC"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Organización de Estados Iberoamericanos OEI</w:t>
            </w:r>
            <w:r w:rsidRPr="00771B7E">
              <w:rPr>
                <w:rFonts w:ascii="Arial" w:hAnsi="Arial" w:cs="Arial"/>
                <w:color w:val="000000"/>
                <w:sz w:val="18"/>
                <w:szCs w:val="18"/>
              </w:rPr>
              <w:br w:type="page"/>
            </w:r>
          </w:p>
          <w:p w14:paraId="06687C8C"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UNICEF</w:t>
            </w:r>
          </w:p>
        </w:tc>
      </w:tr>
      <w:tr w:rsidR="007D3331" w:rsidRPr="00771B7E" w14:paraId="459FD353" w14:textId="77777777" w:rsidTr="00486888">
        <w:trPr>
          <w:trHeight w:val="617"/>
        </w:trPr>
        <w:tc>
          <w:tcPr>
            <w:tcW w:w="983" w:type="dxa"/>
            <w:vMerge/>
            <w:tcBorders>
              <w:left w:val="single" w:sz="4" w:space="0" w:color="auto"/>
              <w:bottom w:val="single" w:sz="4" w:space="0" w:color="auto"/>
              <w:right w:val="single" w:sz="4" w:space="0" w:color="auto"/>
            </w:tcBorders>
            <w:shd w:val="clear" w:color="000000" w:fill="FFFFFF"/>
            <w:vAlign w:val="center"/>
            <w:hideMark/>
          </w:tcPr>
          <w:p w14:paraId="2391A001" w14:textId="77777777" w:rsidR="007D3331" w:rsidRPr="00771B7E" w:rsidRDefault="007D3331" w:rsidP="00486888">
            <w:pPr>
              <w:jc w:val="both"/>
              <w:rPr>
                <w:rFonts w:ascii="Arial" w:hAnsi="Arial" w:cs="Arial"/>
                <w:color w:val="000000"/>
                <w:sz w:val="18"/>
                <w:szCs w:val="18"/>
              </w:rPr>
            </w:pPr>
          </w:p>
        </w:tc>
        <w:tc>
          <w:tcPr>
            <w:tcW w:w="2819" w:type="dxa"/>
            <w:tcBorders>
              <w:top w:val="nil"/>
              <w:left w:val="nil"/>
              <w:bottom w:val="single" w:sz="4" w:space="0" w:color="auto"/>
              <w:right w:val="single" w:sz="4" w:space="0" w:color="auto"/>
            </w:tcBorders>
            <w:shd w:val="clear" w:color="000000" w:fill="FFFFFF"/>
            <w:vAlign w:val="center"/>
            <w:hideMark/>
          </w:tcPr>
          <w:p w14:paraId="24B4199C"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Medios de comunicación, prensa, radio, televisión nacional y regional</w:t>
            </w:r>
          </w:p>
        </w:tc>
        <w:tc>
          <w:tcPr>
            <w:tcW w:w="4977" w:type="dxa"/>
            <w:tcBorders>
              <w:top w:val="nil"/>
              <w:left w:val="nil"/>
              <w:bottom w:val="single" w:sz="4" w:space="0" w:color="auto"/>
              <w:right w:val="single" w:sz="4" w:space="0" w:color="auto"/>
            </w:tcBorders>
            <w:shd w:val="clear" w:color="auto" w:fill="auto"/>
            <w:vAlign w:val="center"/>
            <w:hideMark/>
          </w:tcPr>
          <w:p w14:paraId="2C4747F2" w14:textId="77777777" w:rsidR="007D3331" w:rsidRPr="00771B7E" w:rsidRDefault="007D3331" w:rsidP="00486888">
            <w:pPr>
              <w:jc w:val="both"/>
              <w:rPr>
                <w:rFonts w:ascii="Arial" w:hAnsi="Arial" w:cs="Arial"/>
                <w:color w:val="000000"/>
                <w:sz w:val="18"/>
                <w:szCs w:val="18"/>
              </w:rPr>
            </w:pPr>
            <w:r w:rsidRPr="00771B7E">
              <w:rPr>
                <w:rFonts w:ascii="Arial" w:hAnsi="Arial" w:cs="Arial"/>
                <w:color w:val="000000"/>
                <w:sz w:val="18"/>
                <w:szCs w:val="18"/>
              </w:rPr>
              <w:t>Ciudadanos en Redes sociales ( Facebook, Twitter, YouTube e Instagram)</w:t>
            </w:r>
          </w:p>
        </w:tc>
      </w:tr>
    </w:tbl>
    <w:p w14:paraId="76C91D90" w14:textId="77777777" w:rsidR="007D3331" w:rsidRDefault="007D3331">
      <w:pPr>
        <w:pStyle w:val="Default"/>
        <w:jc w:val="both"/>
        <w:rPr>
          <w:color w:val="auto"/>
          <w:sz w:val="22"/>
          <w:szCs w:val="22"/>
          <w:lang w:val="es-ES_tradnl"/>
        </w:rPr>
      </w:pPr>
    </w:p>
    <w:p w14:paraId="36500B9B" w14:textId="77777777" w:rsidR="00B00B64" w:rsidRDefault="00B00B64">
      <w:pPr>
        <w:pStyle w:val="Default"/>
        <w:jc w:val="both"/>
        <w:rPr>
          <w:color w:val="auto"/>
          <w:sz w:val="22"/>
          <w:szCs w:val="22"/>
          <w:lang w:val="es-ES_tradnl"/>
        </w:rPr>
      </w:pPr>
    </w:p>
    <w:p w14:paraId="37DA01B1" w14:textId="77777777" w:rsidR="00B00B64" w:rsidRPr="00771B7E" w:rsidRDefault="00B00B64">
      <w:pPr>
        <w:pStyle w:val="Default"/>
        <w:jc w:val="both"/>
        <w:rPr>
          <w:color w:val="auto"/>
          <w:sz w:val="22"/>
          <w:szCs w:val="22"/>
          <w:lang w:val="es-ES_tradnl"/>
        </w:rPr>
      </w:pPr>
    </w:p>
    <w:p w14:paraId="1CE62C82" w14:textId="77777777" w:rsidR="00B37228" w:rsidRPr="00771B7E" w:rsidRDefault="00B37228" w:rsidP="00F67007">
      <w:pPr>
        <w:pStyle w:val="Ttulo2"/>
        <w:numPr>
          <w:ilvl w:val="1"/>
          <w:numId w:val="3"/>
        </w:numPr>
        <w:rPr>
          <w:rFonts w:ascii="Arial" w:hAnsi="Arial" w:cs="Arial"/>
          <w:color w:val="auto"/>
          <w:sz w:val="22"/>
          <w:szCs w:val="22"/>
        </w:rPr>
      </w:pPr>
      <w:bookmarkStart w:id="13" w:name="_Toc1986559"/>
      <w:r w:rsidRPr="00771B7E">
        <w:rPr>
          <w:rFonts w:ascii="Arial" w:hAnsi="Arial" w:cs="Arial"/>
          <w:color w:val="auto"/>
          <w:sz w:val="22"/>
          <w:szCs w:val="22"/>
        </w:rPr>
        <w:lastRenderedPageBreak/>
        <w:t>Capacitación</w:t>
      </w:r>
      <w:bookmarkEnd w:id="13"/>
    </w:p>
    <w:p w14:paraId="45462B4D" w14:textId="77777777" w:rsidR="00B37228" w:rsidRPr="00771B7E" w:rsidRDefault="00B37228">
      <w:pPr>
        <w:jc w:val="both"/>
        <w:rPr>
          <w:rFonts w:ascii="Arial" w:hAnsi="Arial" w:cs="Arial"/>
          <w:sz w:val="22"/>
          <w:szCs w:val="22"/>
        </w:rPr>
      </w:pPr>
    </w:p>
    <w:p w14:paraId="2FF80C07" w14:textId="77777777" w:rsidR="000E1781" w:rsidRPr="00771B7E" w:rsidRDefault="00375151">
      <w:pPr>
        <w:jc w:val="both"/>
        <w:rPr>
          <w:rFonts w:ascii="Arial" w:hAnsi="Arial" w:cs="Arial"/>
          <w:sz w:val="22"/>
          <w:szCs w:val="22"/>
        </w:rPr>
      </w:pPr>
      <w:r w:rsidRPr="00771B7E">
        <w:rPr>
          <w:rFonts w:ascii="Arial" w:hAnsi="Arial" w:cs="Arial"/>
          <w:sz w:val="22"/>
          <w:szCs w:val="22"/>
        </w:rPr>
        <w:t xml:space="preserve">Dentro de esta etapa el IDEP ha definido acciones de incentivos, las cuales se refieren a aquellas acciones por medio de las cuales las entidades públicas refuerzan el comportamiento de servidores públicos y ciudadanos hacia el </w:t>
      </w:r>
      <w:r w:rsidR="00AE6A30" w:rsidRPr="00771B7E">
        <w:rPr>
          <w:rFonts w:ascii="Arial" w:hAnsi="Arial" w:cs="Arial"/>
          <w:sz w:val="22"/>
          <w:szCs w:val="22"/>
        </w:rPr>
        <w:t xml:space="preserve">proceso de rendición de cuentas, que </w:t>
      </w:r>
      <w:r w:rsidRPr="00771B7E">
        <w:rPr>
          <w:rFonts w:ascii="Arial" w:hAnsi="Arial" w:cs="Arial"/>
          <w:sz w:val="22"/>
          <w:szCs w:val="22"/>
        </w:rPr>
        <w:t>contribuyan a la interiorización de la cultura de rendición de cuentas en los servidores públicos y en los ciudadanos.</w:t>
      </w:r>
    </w:p>
    <w:p w14:paraId="59F24753" w14:textId="77777777" w:rsidR="000E1781" w:rsidRPr="00771B7E" w:rsidRDefault="000E1781">
      <w:pPr>
        <w:jc w:val="both"/>
        <w:rPr>
          <w:rFonts w:ascii="Arial" w:hAnsi="Arial" w:cs="Arial"/>
          <w:sz w:val="22"/>
          <w:szCs w:val="22"/>
        </w:rPr>
      </w:pPr>
    </w:p>
    <w:p w14:paraId="3EA732BD" w14:textId="04D668E1" w:rsidR="00375151" w:rsidRPr="00771B7E" w:rsidRDefault="00375151">
      <w:pPr>
        <w:jc w:val="both"/>
        <w:rPr>
          <w:rFonts w:ascii="Arial" w:hAnsi="Arial" w:cs="Arial"/>
          <w:sz w:val="22"/>
          <w:szCs w:val="22"/>
        </w:rPr>
      </w:pPr>
      <w:r w:rsidRPr="00771B7E">
        <w:rPr>
          <w:rFonts w:ascii="Arial" w:hAnsi="Arial" w:cs="Arial"/>
          <w:sz w:val="22"/>
          <w:szCs w:val="22"/>
        </w:rPr>
        <w:t>Los incentivos estarán orientados a motivar la realización de procesos de rendición de cuentas, promoviendo comportamientos institucionales para su cualific</w:t>
      </w:r>
      <w:r w:rsidR="00AE6A30" w:rsidRPr="00771B7E">
        <w:rPr>
          <w:rFonts w:ascii="Arial" w:hAnsi="Arial" w:cs="Arial"/>
          <w:sz w:val="22"/>
          <w:szCs w:val="22"/>
        </w:rPr>
        <w:t>ación mediante la capacitación. Las acciones de incentivos propuestas son:</w:t>
      </w:r>
    </w:p>
    <w:p w14:paraId="2F52529B" w14:textId="77777777" w:rsidR="000F5610" w:rsidRPr="00771B7E" w:rsidRDefault="000F5610">
      <w:pPr>
        <w:jc w:val="both"/>
        <w:rPr>
          <w:rFonts w:ascii="Arial" w:hAnsi="Arial" w:cs="Arial"/>
          <w:sz w:val="22"/>
          <w:szCs w:val="22"/>
        </w:rPr>
      </w:pPr>
    </w:p>
    <w:tbl>
      <w:tblPr>
        <w:tblStyle w:val="Tablaconcuadrcula"/>
        <w:tblW w:w="0" w:type="auto"/>
        <w:tblLook w:val="04A0" w:firstRow="1" w:lastRow="0" w:firstColumn="1" w:lastColumn="0" w:noHBand="0" w:noVBand="1"/>
      </w:tblPr>
      <w:tblGrid>
        <w:gridCol w:w="5240"/>
        <w:gridCol w:w="2552"/>
        <w:gridCol w:w="1412"/>
      </w:tblGrid>
      <w:tr w:rsidR="00AE6A30" w:rsidRPr="00771B7E" w14:paraId="1AAEAE03" w14:textId="77777777" w:rsidTr="00AE6A30">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37C4E7" w14:textId="77777777" w:rsidR="00AE6A30" w:rsidRPr="00771B7E" w:rsidRDefault="00AE6A30">
            <w:pPr>
              <w:jc w:val="center"/>
              <w:rPr>
                <w:rFonts w:ascii="Arial" w:hAnsi="Arial" w:cs="Arial"/>
                <w:b/>
                <w:sz w:val="18"/>
                <w:szCs w:val="18"/>
              </w:rPr>
            </w:pPr>
            <w:r w:rsidRPr="00771B7E">
              <w:rPr>
                <w:rFonts w:ascii="Arial" w:hAnsi="Arial" w:cs="Arial"/>
                <w:b/>
                <w:sz w:val="18"/>
                <w:szCs w:val="18"/>
              </w:rPr>
              <w:t>ACTIVIDAD</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89750F" w14:textId="77777777" w:rsidR="00AE6A30" w:rsidRPr="00771B7E" w:rsidRDefault="00AE6A30">
            <w:pPr>
              <w:jc w:val="center"/>
              <w:rPr>
                <w:rFonts w:ascii="Arial" w:hAnsi="Arial" w:cs="Arial"/>
                <w:b/>
                <w:sz w:val="18"/>
                <w:szCs w:val="18"/>
              </w:rPr>
            </w:pPr>
            <w:r w:rsidRPr="00771B7E">
              <w:rPr>
                <w:rFonts w:ascii="Arial" w:hAnsi="Arial" w:cs="Arial"/>
                <w:b/>
                <w:sz w:val="18"/>
                <w:szCs w:val="18"/>
              </w:rPr>
              <w:t>REPONSABLE</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5CA18F" w14:textId="77777777" w:rsidR="00AE6A30" w:rsidRPr="00771B7E" w:rsidRDefault="00AE6A30">
            <w:pPr>
              <w:jc w:val="center"/>
              <w:rPr>
                <w:rFonts w:ascii="Arial" w:hAnsi="Arial" w:cs="Arial"/>
                <w:b/>
                <w:sz w:val="18"/>
                <w:szCs w:val="18"/>
              </w:rPr>
            </w:pPr>
            <w:r w:rsidRPr="00771B7E">
              <w:rPr>
                <w:rFonts w:ascii="Arial" w:hAnsi="Arial" w:cs="Arial"/>
                <w:b/>
                <w:sz w:val="18"/>
                <w:szCs w:val="18"/>
              </w:rPr>
              <w:t xml:space="preserve">FECHA </w:t>
            </w:r>
          </w:p>
        </w:tc>
      </w:tr>
      <w:tr w:rsidR="00F14E24" w:rsidRPr="00771B7E" w14:paraId="7EFF139A" w14:textId="77777777" w:rsidTr="00AE6A30">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1489A" w14:textId="7BD708B7" w:rsidR="00F14E24" w:rsidRPr="00F14E24" w:rsidRDefault="00F14E24" w:rsidP="00F14E24">
            <w:pPr>
              <w:jc w:val="both"/>
              <w:rPr>
                <w:rFonts w:ascii="Arial" w:hAnsi="Arial" w:cs="Arial"/>
                <w:sz w:val="18"/>
                <w:szCs w:val="18"/>
              </w:rPr>
            </w:pPr>
            <w:r w:rsidRPr="00F14E24">
              <w:rPr>
                <w:rFonts w:ascii="Arial" w:hAnsi="Arial" w:cs="Arial"/>
                <w:sz w:val="18"/>
                <w:szCs w:val="18"/>
              </w:rPr>
              <w:t>Realizar jornada de sensibilización del modelo de gestión implementado en el IDEP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B29B7" w14:textId="037643D4" w:rsidR="00F14E24" w:rsidRPr="00771B7E" w:rsidRDefault="00F14E24" w:rsidP="00F14E24">
            <w:pPr>
              <w:jc w:val="center"/>
              <w:rPr>
                <w:rFonts w:ascii="Arial" w:hAnsi="Arial" w:cs="Arial"/>
                <w:sz w:val="18"/>
                <w:szCs w:val="18"/>
              </w:rPr>
            </w:pPr>
            <w:r w:rsidRPr="00771B7E">
              <w:rPr>
                <w:rFonts w:ascii="Arial" w:hAnsi="Arial" w:cs="Arial"/>
                <w:sz w:val="18"/>
                <w:szCs w:val="18"/>
              </w:rPr>
              <w:t>Coordina la Oficina Asesora de Planeación y la Subdirección Administrativa Financiera y Control Disciplinario - Talento humano, participan todas las dependencias del IDEP</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C2F4A" w14:textId="6B14CC7E" w:rsidR="00F14E24" w:rsidRPr="00771B7E" w:rsidRDefault="00F14E24" w:rsidP="00F14E24">
            <w:pPr>
              <w:jc w:val="center"/>
              <w:rPr>
                <w:rFonts w:ascii="Arial" w:hAnsi="Arial" w:cs="Arial"/>
                <w:sz w:val="18"/>
                <w:szCs w:val="18"/>
              </w:rPr>
            </w:pPr>
            <w:r>
              <w:rPr>
                <w:rFonts w:ascii="Arial" w:hAnsi="Arial" w:cs="Arial"/>
                <w:color w:val="000000"/>
                <w:sz w:val="18"/>
                <w:szCs w:val="18"/>
              </w:rPr>
              <w:t xml:space="preserve">Marzo </w:t>
            </w:r>
            <w:r w:rsidRPr="00771B7E">
              <w:rPr>
                <w:rFonts w:ascii="Arial" w:hAnsi="Arial" w:cs="Arial"/>
                <w:color w:val="000000"/>
                <w:sz w:val="18"/>
                <w:szCs w:val="18"/>
              </w:rPr>
              <w:t xml:space="preserve"> 2019</w:t>
            </w:r>
          </w:p>
        </w:tc>
      </w:tr>
      <w:tr w:rsidR="00AE6A30" w:rsidRPr="00771B7E" w14:paraId="49707D70" w14:textId="77777777" w:rsidTr="00AE6A30">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6725F" w14:textId="4B4C016C" w:rsidR="00AE6A30" w:rsidRPr="00771B7E" w:rsidRDefault="00F14E24" w:rsidP="009E6C59">
            <w:pPr>
              <w:jc w:val="both"/>
              <w:rPr>
                <w:rFonts w:ascii="Arial" w:hAnsi="Arial" w:cs="Arial"/>
                <w:sz w:val="18"/>
                <w:szCs w:val="18"/>
              </w:rPr>
            </w:pPr>
            <w:r w:rsidRPr="00F14E24">
              <w:rPr>
                <w:rFonts w:ascii="Arial" w:hAnsi="Arial" w:cs="Arial"/>
                <w:sz w:val="18"/>
                <w:szCs w:val="18"/>
              </w:rPr>
              <w:t>Realizar jornada de sensibilización con funcionarios y contratistas sobre la importancia de la rendición de cuentas y su participación para el desarrollo del proceso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6E72B7" w14:textId="77777777" w:rsidR="00AE6A30" w:rsidRPr="00771B7E" w:rsidRDefault="00AE6A30" w:rsidP="000E1781">
            <w:pPr>
              <w:jc w:val="center"/>
              <w:rPr>
                <w:rFonts w:ascii="Arial" w:hAnsi="Arial" w:cs="Arial"/>
                <w:sz w:val="18"/>
                <w:szCs w:val="18"/>
              </w:rPr>
            </w:pPr>
            <w:r w:rsidRPr="00771B7E">
              <w:rPr>
                <w:rFonts w:ascii="Arial" w:hAnsi="Arial" w:cs="Arial"/>
                <w:sz w:val="18"/>
                <w:szCs w:val="18"/>
              </w:rPr>
              <w:t>Oficina Asesora de Planeación</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3A5E8" w14:textId="407C701B" w:rsidR="00AE6A30" w:rsidRPr="00771B7E" w:rsidRDefault="00AE6A30" w:rsidP="00F14E24">
            <w:pPr>
              <w:jc w:val="center"/>
              <w:rPr>
                <w:rFonts w:ascii="Arial" w:hAnsi="Arial" w:cs="Arial"/>
                <w:sz w:val="18"/>
                <w:szCs w:val="18"/>
              </w:rPr>
            </w:pPr>
            <w:r w:rsidRPr="00771B7E">
              <w:rPr>
                <w:rFonts w:ascii="Arial" w:hAnsi="Arial" w:cs="Arial"/>
                <w:sz w:val="18"/>
                <w:szCs w:val="18"/>
              </w:rPr>
              <w:t>A</w:t>
            </w:r>
            <w:r w:rsidR="00F14E24">
              <w:rPr>
                <w:rFonts w:ascii="Arial" w:hAnsi="Arial" w:cs="Arial"/>
                <w:sz w:val="18"/>
                <w:szCs w:val="18"/>
              </w:rPr>
              <w:t xml:space="preserve">gosto </w:t>
            </w:r>
            <w:r w:rsidRPr="00771B7E">
              <w:rPr>
                <w:rFonts w:ascii="Arial" w:hAnsi="Arial" w:cs="Arial"/>
                <w:sz w:val="18"/>
                <w:szCs w:val="18"/>
              </w:rPr>
              <w:t xml:space="preserve"> 2019</w:t>
            </w:r>
          </w:p>
        </w:tc>
      </w:tr>
      <w:tr w:rsidR="00AE6A30" w:rsidRPr="00771B7E" w14:paraId="6C205989" w14:textId="77777777" w:rsidTr="00AE6A30">
        <w:tc>
          <w:tcPr>
            <w:tcW w:w="5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DF4AC" w14:textId="438B1F45" w:rsidR="00AE6A30" w:rsidRPr="00771B7E" w:rsidRDefault="00AE6A30" w:rsidP="000E1781">
            <w:pPr>
              <w:jc w:val="both"/>
              <w:rPr>
                <w:rFonts w:ascii="Arial" w:hAnsi="Arial" w:cs="Arial"/>
                <w:sz w:val="18"/>
                <w:szCs w:val="18"/>
              </w:rPr>
            </w:pPr>
            <w:r w:rsidRPr="00771B7E">
              <w:rPr>
                <w:rFonts w:ascii="Arial" w:hAnsi="Arial" w:cs="Arial"/>
                <w:sz w:val="18"/>
                <w:szCs w:val="18"/>
              </w:rPr>
              <w:t>Coordinar con el área de talento humano, jornadas de capacitación con los entes de control y entidades públicas que regulen y dicten las directrices frente a la normatividad aplicable a entidades distritales, con el ánimo de fortalecer la gestión y refleje resultados orientados al logro de los objetivos institucionales.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05E06" w14:textId="53F4F561" w:rsidR="00AE6A30" w:rsidRPr="00771B7E" w:rsidRDefault="00AE6A30" w:rsidP="000E1781">
            <w:pPr>
              <w:jc w:val="center"/>
              <w:rPr>
                <w:rFonts w:ascii="Arial" w:hAnsi="Arial" w:cs="Arial"/>
                <w:sz w:val="18"/>
                <w:szCs w:val="18"/>
              </w:rPr>
            </w:pPr>
            <w:r w:rsidRPr="00771B7E">
              <w:rPr>
                <w:rFonts w:ascii="Arial" w:hAnsi="Arial" w:cs="Arial"/>
                <w:sz w:val="18"/>
                <w:szCs w:val="18"/>
              </w:rPr>
              <w:t xml:space="preserve">Coordina Oficina Asesora de Planeación y </w:t>
            </w:r>
            <w:r w:rsidR="000E1781" w:rsidRPr="00771B7E">
              <w:rPr>
                <w:rFonts w:ascii="Arial" w:hAnsi="Arial" w:cs="Arial"/>
                <w:sz w:val="18"/>
                <w:szCs w:val="18"/>
              </w:rPr>
              <w:t xml:space="preserve"> la Subdirección Administrativa Financieras y Control Disciplinario - </w:t>
            </w:r>
            <w:r w:rsidRPr="00771B7E">
              <w:rPr>
                <w:rFonts w:ascii="Arial" w:hAnsi="Arial" w:cs="Arial"/>
                <w:sz w:val="18"/>
                <w:szCs w:val="18"/>
              </w:rPr>
              <w:t>Talento humano, participan todas las dependencias del IDEP</w:t>
            </w:r>
          </w:p>
        </w:tc>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03E976" w14:textId="22DF1CF4" w:rsidR="00AE6A30" w:rsidRPr="00771B7E" w:rsidRDefault="00330B83" w:rsidP="000E1781">
            <w:pPr>
              <w:jc w:val="center"/>
              <w:rPr>
                <w:rFonts w:ascii="Arial" w:hAnsi="Arial" w:cs="Arial"/>
                <w:color w:val="000000"/>
                <w:sz w:val="18"/>
                <w:szCs w:val="18"/>
              </w:rPr>
            </w:pPr>
            <w:r>
              <w:rPr>
                <w:rFonts w:ascii="Arial" w:hAnsi="Arial" w:cs="Arial"/>
                <w:color w:val="000000"/>
                <w:sz w:val="18"/>
                <w:szCs w:val="18"/>
              </w:rPr>
              <w:t>Octubre</w:t>
            </w:r>
            <w:r w:rsidR="00F14E24">
              <w:rPr>
                <w:rFonts w:ascii="Arial" w:hAnsi="Arial" w:cs="Arial"/>
                <w:color w:val="000000"/>
                <w:sz w:val="18"/>
                <w:szCs w:val="18"/>
              </w:rPr>
              <w:t xml:space="preserve"> </w:t>
            </w:r>
            <w:r w:rsidR="00AE6A30" w:rsidRPr="00771B7E">
              <w:rPr>
                <w:rFonts w:ascii="Arial" w:hAnsi="Arial" w:cs="Arial"/>
                <w:color w:val="000000"/>
                <w:sz w:val="18"/>
                <w:szCs w:val="18"/>
              </w:rPr>
              <w:t xml:space="preserve"> 2019</w:t>
            </w:r>
          </w:p>
        </w:tc>
      </w:tr>
    </w:tbl>
    <w:p w14:paraId="3017DEC5" w14:textId="77777777" w:rsidR="00AE6A30" w:rsidRPr="00771B7E" w:rsidRDefault="00AE6A30" w:rsidP="009E6C59">
      <w:pPr>
        <w:jc w:val="both"/>
        <w:rPr>
          <w:rFonts w:ascii="Arial" w:hAnsi="Arial" w:cs="Arial"/>
          <w:sz w:val="22"/>
          <w:szCs w:val="22"/>
          <w:lang w:val="es-CO"/>
        </w:rPr>
      </w:pPr>
    </w:p>
    <w:p w14:paraId="1ECA0B1A" w14:textId="77777777" w:rsidR="006C6236" w:rsidRPr="00771B7E" w:rsidRDefault="006C6236" w:rsidP="000E1781">
      <w:pPr>
        <w:jc w:val="both"/>
        <w:rPr>
          <w:rFonts w:ascii="Arial" w:hAnsi="Arial" w:cs="Arial"/>
          <w:sz w:val="22"/>
          <w:szCs w:val="22"/>
        </w:rPr>
      </w:pPr>
    </w:p>
    <w:p w14:paraId="7590F58C" w14:textId="30D44203" w:rsidR="00BC0F1D" w:rsidRPr="00771B7E" w:rsidRDefault="00BC0F1D" w:rsidP="00F67007">
      <w:pPr>
        <w:pStyle w:val="Ttulo2"/>
        <w:numPr>
          <w:ilvl w:val="1"/>
          <w:numId w:val="5"/>
        </w:numPr>
        <w:rPr>
          <w:rFonts w:ascii="Arial" w:hAnsi="Arial" w:cs="Arial"/>
          <w:color w:val="auto"/>
          <w:sz w:val="22"/>
          <w:szCs w:val="22"/>
        </w:rPr>
      </w:pPr>
      <w:bookmarkStart w:id="14" w:name="_Toc536456853"/>
      <w:bookmarkStart w:id="15" w:name="_Toc1986560"/>
      <w:r w:rsidRPr="00771B7E">
        <w:rPr>
          <w:rFonts w:ascii="Arial" w:hAnsi="Arial" w:cs="Arial"/>
          <w:color w:val="auto"/>
          <w:sz w:val="22"/>
          <w:szCs w:val="22"/>
        </w:rPr>
        <w:t>Publicación de la información</w:t>
      </w:r>
      <w:bookmarkEnd w:id="14"/>
      <w:bookmarkEnd w:id="15"/>
    </w:p>
    <w:p w14:paraId="5528F0AC" w14:textId="77777777" w:rsidR="00BC0F1D" w:rsidRPr="00771B7E" w:rsidRDefault="00BC0F1D">
      <w:pPr>
        <w:rPr>
          <w:rFonts w:ascii="Arial" w:hAnsi="Arial" w:cs="Arial"/>
          <w:sz w:val="22"/>
          <w:szCs w:val="22"/>
        </w:rPr>
      </w:pPr>
    </w:p>
    <w:p w14:paraId="1EA5D738" w14:textId="77777777" w:rsidR="00BC0F1D" w:rsidRPr="00771B7E" w:rsidRDefault="00BC0F1D">
      <w:pPr>
        <w:rPr>
          <w:rFonts w:ascii="Arial" w:hAnsi="Arial" w:cs="Arial"/>
          <w:sz w:val="22"/>
          <w:szCs w:val="22"/>
        </w:rPr>
      </w:pPr>
      <w:r w:rsidRPr="00771B7E">
        <w:rPr>
          <w:rFonts w:ascii="Arial" w:hAnsi="Arial" w:cs="Arial"/>
          <w:sz w:val="22"/>
          <w:szCs w:val="22"/>
        </w:rPr>
        <w:t xml:space="preserve">En esta etapa el  IDEP ha definido las siguientes acciones: </w:t>
      </w:r>
    </w:p>
    <w:p w14:paraId="5B3E45ED" w14:textId="77777777" w:rsidR="00BC0F1D" w:rsidRPr="00771B7E" w:rsidRDefault="00BC0F1D">
      <w:pPr>
        <w:rPr>
          <w:rFonts w:ascii="Arial" w:hAnsi="Arial" w:cs="Arial"/>
          <w:sz w:val="22"/>
          <w:szCs w:val="22"/>
        </w:rPr>
      </w:pPr>
    </w:p>
    <w:tbl>
      <w:tblPr>
        <w:tblStyle w:val="Tablaconcuadrcula"/>
        <w:tblW w:w="0" w:type="auto"/>
        <w:tblLook w:val="04A0" w:firstRow="1" w:lastRow="0" w:firstColumn="1" w:lastColumn="0" w:noHBand="0" w:noVBand="1"/>
      </w:tblPr>
      <w:tblGrid>
        <w:gridCol w:w="4531"/>
        <w:gridCol w:w="2552"/>
        <w:gridCol w:w="2121"/>
      </w:tblGrid>
      <w:tr w:rsidR="00BC0F1D" w:rsidRPr="00771B7E" w14:paraId="3204D13D"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0D72FB" w14:textId="77777777" w:rsidR="00BC0F1D" w:rsidRPr="00771B7E" w:rsidRDefault="00BC0F1D">
            <w:pPr>
              <w:jc w:val="center"/>
              <w:rPr>
                <w:rFonts w:ascii="Arial" w:hAnsi="Arial" w:cs="Arial"/>
                <w:b/>
                <w:sz w:val="18"/>
                <w:szCs w:val="18"/>
              </w:rPr>
            </w:pPr>
            <w:r w:rsidRPr="00771B7E">
              <w:rPr>
                <w:rFonts w:ascii="Arial" w:hAnsi="Arial" w:cs="Arial"/>
                <w:b/>
                <w:sz w:val="18"/>
                <w:szCs w:val="18"/>
              </w:rPr>
              <w:t>ACTIVIDAD</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00F7E0" w14:textId="77777777" w:rsidR="00BC0F1D" w:rsidRPr="00771B7E" w:rsidRDefault="00BC0F1D">
            <w:pPr>
              <w:jc w:val="center"/>
              <w:rPr>
                <w:rFonts w:ascii="Arial" w:hAnsi="Arial" w:cs="Arial"/>
                <w:b/>
                <w:sz w:val="18"/>
                <w:szCs w:val="18"/>
              </w:rPr>
            </w:pPr>
            <w:r w:rsidRPr="00771B7E">
              <w:rPr>
                <w:rFonts w:ascii="Arial" w:hAnsi="Arial" w:cs="Arial"/>
                <w:b/>
                <w:sz w:val="18"/>
                <w:szCs w:val="18"/>
              </w:rPr>
              <w:t>REPONSABLE</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22D68" w14:textId="77777777" w:rsidR="00BC0F1D" w:rsidRPr="00771B7E" w:rsidRDefault="00BC0F1D">
            <w:pPr>
              <w:jc w:val="center"/>
              <w:rPr>
                <w:rFonts w:ascii="Arial" w:hAnsi="Arial" w:cs="Arial"/>
                <w:b/>
                <w:sz w:val="18"/>
                <w:szCs w:val="18"/>
              </w:rPr>
            </w:pPr>
            <w:r w:rsidRPr="00771B7E">
              <w:rPr>
                <w:rFonts w:ascii="Arial" w:hAnsi="Arial" w:cs="Arial"/>
                <w:b/>
                <w:sz w:val="18"/>
                <w:szCs w:val="18"/>
              </w:rPr>
              <w:t xml:space="preserve">FECHA </w:t>
            </w:r>
          </w:p>
        </w:tc>
      </w:tr>
      <w:tr w:rsidR="00BC0F1D" w:rsidRPr="00771B7E" w14:paraId="1AB6D118"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BDE8F" w14:textId="77777777" w:rsidR="00BC0F1D" w:rsidRPr="00771B7E" w:rsidRDefault="00BC0F1D" w:rsidP="009E6C59">
            <w:pPr>
              <w:jc w:val="both"/>
              <w:rPr>
                <w:rFonts w:ascii="Arial" w:hAnsi="Arial" w:cs="Arial"/>
                <w:sz w:val="18"/>
                <w:szCs w:val="18"/>
              </w:rPr>
            </w:pPr>
            <w:r w:rsidRPr="00771B7E">
              <w:rPr>
                <w:rFonts w:ascii="Arial" w:hAnsi="Arial" w:cs="Arial"/>
                <w:sz w:val="18"/>
                <w:szCs w:val="18"/>
              </w:rPr>
              <w:t>Publicar oportunamente  en la página web de la entidad y de acuerdo a la normatividad y periodicidad establecida los siguientes informes:</w:t>
            </w:r>
          </w:p>
          <w:p w14:paraId="76F60623" w14:textId="77777777" w:rsidR="003D55C6" w:rsidRPr="00771B7E" w:rsidRDefault="003D55C6" w:rsidP="00F67007">
            <w:pPr>
              <w:pStyle w:val="Prrafodelista"/>
              <w:numPr>
                <w:ilvl w:val="0"/>
                <w:numId w:val="6"/>
              </w:numPr>
              <w:tabs>
                <w:tab w:val="left" w:pos="171"/>
              </w:tabs>
              <w:spacing w:line="240" w:lineRule="auto"/>
              <w:ind w:left="29" w:firstLine="0"/>
              <w:rPr>
                <w:rFonts w:ascii="Arial" w:hAnsi="Arial" w:cs="Arial"/>
                <w:sz w:val="18"/>
                <w:szCs w:val="18"/>
              </w:rPr>
            </w:pPr>
            <w:r w:rsidRPr="00771B7E">
              <w:rPr>
                <w:rFonts w:ascii="Arial" w:hAnsi="Arial" w:cs="Arial"/>
                <w:sz w:val="18"/>
                <w:szCs w:val="18"/>
              </w:rPr>
              <w:t>Plan Institucional de Archivos -PINAR</w:t>
            </w:r>
          </w:p>
          <w:p w14:paraId="57566606" w14:textId="77777777" w:rsidR="003D55C6" w:rsidRPr="00771B7E" w:rsidRDefault="00BC0F1D" w:rsidP="00F67007">
            <w:pPr>
              <w:pStyle w:val="Prrafodelista"/>
              <w:numPr>
                <w:ilvl w:val="0"/>
                <w:numId w:val="6"/>
              </w:numPr>
              <w:tabs>
                <w:tab w:val="left" w:pos="171"/>
              </w:tabs>
              <w:spacing w:line="240" w:lineRule="auto"/>
              <w:ind w:left="29" w:firstLine="0"/>
              <w:rPr>
                <w:rFonts w:ascii="Arial" w:hAnsi="Arial" w:cs="Arial"/>
                <w:sz w:val="18"/>
                <w:szCs w:val="18"/>
              </w:rPr>
            </w:pPr>
            <w:r w:rsidRPr="00771B7E">
              <w:rPr>
                <w:rFonts w:ascii="Arial" w:hAnsi="Arial" w:cs="Arial"/>
                <w:sz w:val="18"/>
                <w:szCs w:val="18"/>
              </w:rPr>
              <w:t>Plan anual de adquisiciones</w:t>
            </w:r>
          </w:p>
          <w:p w14:paraId="2894D105" w14:textId="77777777" w:rsidR="003D55C6" w:rsidRPr="00771B7E" w:rsidRDefault="003D55C6" w:rsidP="00F67007">
            <w:pPr>
              <w:pStyle w:val="Prrafodelista"/>
              <w:numPr>
                <w:ilvl w:val="0"/>
                <w:numId w:val="6"/>
              </w:numPr>
              <w:tabs>
                <w:tab w:val="left" w:pos="171"/>
              </w:tabs>
              <w:spacing w:line="240" w:lineRule="auto"/>
              <w:ind w:left="29" w:firstLine="0"/>
              <w:rPr>
                <w:rFonts w:ascii="Arial" w:hAnsi="Arial" w:cs="Arial"/>
                <w:sz w:val="18"/>
                <w:szCs w:val="18"/>
              </w:rPr>
            </w:pPr>
            <w:r w:rsidRPr="00771B7E">
              <w:rPr>
                <w:rFonts w:ascii="Arial" w:hAnsi="Arial" w:cs="Arial"/>
                <w:sz w:val="18"/>
                <w:szCs w:val="18"/>
              </w:rPr>
              <w:t>Plan Anual de Vacantes</w:t>
            </w:r>
          </w:p>
          <w:p w14:paraId="70236250" w14:textId="77777777" w:rsidR="003D55C6" w:rsidRPr="00771B7E" w:rsidRDefault="003D55C6" w:rsidP="00F67007">
            <w:pPr>
              <w:pStyle w:val="Prrafodelista"/>
              <w:numPr>
                <w:ilvl w:val="0"/>
                <w:numId w:val="6"/>
              </w:numPr>
              <w:tabs>
                <w:tab w:val="left" w:pos="171"/>
              </w:tabs>
              <w:spacing w:line="240" w:lineRule="auto"/>
              <w:ind w:left="29" w:firstLine="0"/>
              <w:rPr>
                <w:rFonts w:ascii="Arial" w:hAnsi="Arial" w:cs="Arial"/>
                <w:sz w:val="18"/>
                <w:szCs w:val="18"/>
              </w:rPr>
            </w:pPr>
            <w:r w:rsidRPr="00771B7E">
              <w:rPr>
                <w:rFonts w:ascii="Arial" w:hAnsi="Arial" w:cs="Arial"/>
                <w:sz w:val="18"/>
                <w:szCs w:val="18"/>
              </w:rPr>
              <w:t>Plan de Previsión de Recursos Humanos</w:t>
            </w:r>
          </w:p>
          <w:p w14:paraId="187F8B6E"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Estratégico de Talento Humano</w:t>
            </w:r>
          </w:p>
          <w:p w14:paraId="7014B1E1"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Institucional de Capacitación</w:t>
            </w:r>
          </w:p>
          <w:p w14:paraId="64F90A69"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de Incentivos Institucionales</w:t>
            </w:r>
          </w:p>
          <w:p w14:paraId="411139C8"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de Trabajo Anual en Seguridad y Salud en el Trabajo</w:t>
            </w:r>
          </w:p>
          <w:p w14:paraId="4CE28D1D"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lastRenderedPageBreak/>
              <w:t>Plan Anticorrupción y de Atención al Ciudadano</w:t>
            </w:r>
          </w:p>
          <w:p w14:paraId="2A4C7B1C"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Estratégico de Tecnologías de la Información y las Comunicaciones – PETI</w:t>
            </w:r>
          </w:p>
          <w:p w14:paraId="531BB863"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de Tratamiento de Riesgos de Seguridad y Privacidad de la Información</w:t>
            </w:r>
          </w:p>
          <w:p w14:paraId="697D9849"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de Seguridad y Privacidad de la Información</w:t>
            </w:r>
            <w:r w:rsidRPr="00771B7E">
              <w:rPr>
                <w:rFonts w:ascii="Arial" w:hAnsi="Arial" w:cs="Arial"/>
                <w:sz w:val="18"/>
                <w:szCs w:val="18"/>
              </w:rPr>
              <w:br/>
              <w:t>Informes de Control Interno</w:t>
            </w:r>
          </w:p>
          <w:p w14:paraId="12481F0F"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de acción</w:t>
            </w:r>
          </w:p>
          <w:p w14:paraId="73DC438F" w14:textId="77777777" w:rsidR="003D55C6" w:rsidRPr="00771B7E" w:rsidRDefault="003D55C6" w:rsidP="00F67007">
            <w:pPr>
              <w:pStyle w:val="Prrafodelista"/>
              <w:numPr>
                <w:ilvl w:val="0"/>
                <w:numId w:val="6"/>
              </w:numPr>
              <w:tabs>
                <w:tab w:val="left" w:pos="171"/>
              </w:tabs>
              <w:spacing w:line="240" w:lineRule="auto"/>
              <w:ind w:left="0" w:firstLine="29"/>
              <w:rPr>
                <w:rFonts w:ascii="Arial" w:hAnsi="Arial" w:cs="Arial"/>
                <w:sz w:val="18"/>
                <w:szCs w:val="18"/>
              </w:rPr>
            </w:pPr>
            <w:r w:rsidRPr="00771B7E">
              <w:rPr>
                <w:rFonts w:ascii="Arial" w:hAnsi="Arial" w:cs="Arial"/>
                <w:sz w:val="18"/>
                <w:szCs w:val="18"/>
              </w:rPr>
              <w:t>Plan Operativo Anual</w:t>
            </w:r>
          </w:p>
          <w:p w14:paraId="6418BF3B" w14:textId="77777777" w:rsidR="003D55C6" w:rsidRPr="00771B7E" w:rsidRDefault="00BC0F1D" w:rsidP="00F67007">
            <w:pPr>
              <w:pStyle w:val="Prrafodelista"/>
              <w:numPr>
                <w:ilvl w:val="0"/>
                <w:numId w:val="6"/>
              </w:numPr>
              <w:tabs>
                <w:tab w:val="left" w:pos="171"/>
              </w:tabs>
              <w:spacing w:line="240" w:lineRule="auto"/>
              <w:ind w:left="0" w:firstLine="29"/>
              <w:rPr>
                <w:rFonts w:ascii="Arial" w:hAnsi="Arial" w:cs="Arial"/>
                <w:color w:val="000000"/>
                <w:sz w:val="18"/>
                <w:szCs w:val="18"/>
              </w:rPr>
            </w:pPr>
            <w:r w:rsidRPr="00771B7E">
              <w:rPr>
                <w:rFonts w:ascii="Arial" w:hAnsi="Arial" w:cs="Arial"/>
                <w:sz w:val="18"/>
                <w:szCs w:val="18"/>
              </w:rPr>
              <w:t>Matrices de seguimiento a Metas del Pl</w:t>
            </w:r>
            <w:r w:rsidR="003D55C6" w:rsidRPr="00771B7E">
              <w:rPr>
                <w:rFonts w:ascii="Arial" w:hAnsi="Arial" w:cs="Arial"/>
                <w:sz w:val="18"/>
                <w:szCs w:val="18"/>
              </w:rPr>
              <w:t>an de Desarrollo Distrital PDD</w:t>
            </w:r>
          </w:p>
          <w:p w14:paraId="246D250F" w14:textId="77777777" w:rsidR="003D55C6" w:rsidRPr="00771B7E" w:rsidRDefault="00BC0F1D" w:rsidP="00F67007">
            <w:pPr>
              <w:pStyle w:val="Prrafodelista"/>
              <w:numPr>
                <w:ilvl w:val="0"/>
                <w:numId w:val="6"/>
              </w:numPr>
              <w:tabs>
                <w:tab w:val="left" w:pos="171"/>
              </w:tabs>
              <w:spacing w:line="240" w:lineRule="auto"/>
              <w:ind w:left="0" w:firstLine="29"/>
              <w:rPr>
                <w:rFonts w:ascii="Arial" w:hAnsi="Arial" w:cs="Arial"/>
                <w:color w:val="000000"/>
                <w:sz w:val="18"/>
                <w:szCs w:val="18"/>
              </w:rPr>
            </w:pPr>
            <w:r w:rsidRPr="00771B7E">
              <w:rPr>
                <w:rFonts w:ascii="Arial" w:hAnsi="Arial" w:cs="Arial"/>
                <w:sz w:val="18"/>
                <w:szCs w:val="18"/>
              </w:rPr>
              <w:t>Pl</w:t>
            </w:r>
            <w:r w:rsidR="003D55C6" w:rsidRPr="00771B7E">
              <w:rPr>
                <w:rFonts w:ascii="Arial" w:hAnsi="Arial" w:cs="Arial"/>
                <w:sz w:val="18"/>
                <w:szCs w:val="18"/>
              </w:rPr>
              <w:t>an de participación ciudadana</w:t>
            </w:r>
          </w:p>
          <w:p w14:paraId="0A337623" w14:textId="77777777" w:rsidR="003D55C6" w:rsidRPr="00771B7E" w:rsidRDefault="00BC0F1D" w:rsidP="00F67007">
            <w:pPr>
              <w:pStyle w:val="Prrafodelista"/>
              <w:numPr>
                <w:ilvl w:val="0"/>
                <w:numId w:val="6"/>
              </w:numPr>
              <w:tabs>
                <w:tab w:val="left" w:pos="171"/>
              </w:tabs>
              <w:spacing w:line="240" w:lineRule="auto"/>
              <w:ind w:left="0" w:firstLine="29"/>
              <w:rPr>
                <w:rFonts w:ascii="Arial" w:hAnsi="Arial" w:cs="Arial"/>
                <w:color w:val="000000"/>
                <w:sz w:val="18"/>
                <w:szCs w:val="18"/>
              </w:rPr>
            </w:pPr>
            <w:r w:rsidRPr="00771B7E">
              <w:rPr>
                <w:rFonts w:ascii="Arial" w:hAnsi="Arial" w:cs="Arial"/>
                <w:sz w:val="18"/>
                <w:szCs w:val="18"/>
              </w:rPr>
              <w:t>Informe de gestió</w:t>
            </w:r>
            <w:r w:rsidR="003D55C6" w:rsidRPr="00771B7E">
              <w:rPr>
                <w:rFonts w:ascii="Arial" w:hAnsi="Arial" w:cs="Arial"/>
                <w:sz w:val="18"/>
                <w:szCs w:val="18"/>
              </w:rPr>
              <w:t>n y de ejecución presupuestal</w:t>
            </w:r>
          </w:p>
          <w:p w14:paraId="7347CD57" w14:textId="77777777" w:rsidR="00BC0F1D" w:rsidRPr="00771B7E" w:rsidRDefault="00BC0F1D" w:rsidP="00F67007">
            <w:pPr>
              <w:pStyle w:val="Prrafodelista"/>
              <w:numPr>
                <w:ilvl w:val="0"/>
                <w:numId w:val="6"/>
              </w:numPr>
              <w:tabs>
                <w:tab w:val="left" w:pos="171"/>
              </w:tabs>
              <w:spacing w:line="240" w:lineRule="auto"/>
              <w:ind w:left="0" w:firstLine="29"/>
              <w:rPr>
                <w:rFonts w:ascii="Arial" w:hAnsi="Arial" w:cs="Arial"/>
                <w:color w:val="000000"/>
                <w:sz w:val="18"/>
                <w:szCs w:val="18"/>
              </w:rPr>
            </w:pPr>
            <w:r w:rsidRPr="00771B7E">
              <w:rPr>
                <w:rFonts w:ascii="Arial" w:hAnsi="Arial" w:cs="Arial"/>
                <w:sz w:val="18"/>
                <w:szCs w:val="18"/>
              </w:rPr>
              <w:t>Plan estratégico de desarrollo institucional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9D7E64" w14:textId="77777777" w:rsidR="00BC0F1D" w:rsidRPr="00771B7E" w:rsidRDefault="00BC0F1D" w:rsidP="009E6C59">
            <w:pPr>
              <w:jc w:val="both"/>
              <w:rPr>
                <w:rFonts w:ascii="Arial" w:hAnsi="Arial" w:cs="Arial"/>
                <w:sz w:val="18"/>
                <w:szCs w:val="18"/>
              </w:rPr>
            </w:pPr>
            <w:r w:rsidRPr="00771B7E">
              <w:rPr>
                <w:rFonts w:ascii="Arial" w:hAnsi="Arial" w:cs="Arial"/>
                <w:sz w:val="18"/>
                <w:szCs w:val="18"/>
              </w:rPr>
              <w:lastRenderedPageBreak/>
              <w:t>Oficina Asesora de Planeación</w:t>
            </w:r>
          </w:p>
          <w:p w14:paraId="49067880" w14:textId="77777777" w:rsidR="00BC0F1D" w:rsidRPr="00771B7E" w:rsidRDefault="00BC0F1D" w:rsidP="000E1781">
            <w:pPr>
              <w:jc w:val="both"/>
              <w:rPr>
                <w:rFonts w:ascii="Arial" w:hAnsi="Arial" w:cs="Arial"/>
                <w:sz w:val="18"/>
                <w:szCs w:val="18"/>
              </w:rPr>
            </w:pPr>
            <w:r w:rsidRPr="00771B7E">
              <w:rPr>
                <w:rFonts w:ascii="Arial" w:hAnsi="Arial" w:cs="Arial"/>
                <w:sz w:val="18"/>
                <w:szCs w:val="18"/>
              </w:rPr>
              <w:t>Subdirección Administrativa, Financiera y de Control Disciplinario</w:t>
            </w:r>
          </w:p>
          <w:p w14:paraId="1849ACDB" w14:textId="77777777" w:rsidR="00BC0F1D" w:rsidRPr="00771B7E" w:rsidRDefault="00BC0F1D" w:rsidP="000E1781">
            <w:pPr>
              <w:jc w:val="both"/>
              <w:rPr>
                <w:rFonts w:ascii="Arial" w:hAnsi="Arial" w:cs="Arial"/>
                <w:sz w:val="18"/>
                <w:szCs w:val="18"/>
              </w:rPr>
            </w:pPr>
            <w:r w:rsidRPr="00771B7E">
              <w:rPr>
                <w:rFonts w:ascii="Arial" w:hAnsi="Arial" w:cs="Arial"/>
                <w:sz w:val="18"/>
                <w:szCs w:val="18"/>
              </w:rPr>
              <w:t xml:space="preserve">Oficina Control Interno </w:t>
            </w:r>
          </w:p>
          <w:p w14:paraId="5D7905AE" w14:textId="77777777" w:rsidR="00BC0F1D" w:rsidRPr="00771B7E" w:rsidRDefault="00BC0F1D">
            <w:pPr>
              <w:jc w:val="both"/>
              <w:rPr>
                <w:rFonts w:ascii="Arial" w:hAnsi="Arial" w:cs="Arial"/>
                <w:sz w:val="18"/>
                <w:szCs w:val="18"/>
              </w:rPr>
            </w:pPr>
            <w:r w:rsidRPr="00771B7E">
              <w:rPr>
                <w:rFonts w:ascii="Arial" w:hAnsi="Arial" w:cs="Arial"/>
                <w:sz w:val="18"/>
                <w:szCs w:val="18"/>
              </w:rPr>
              <w:t>Oficina Asesora Jurídica</w:t>
            </w:r>
          </w:p>
          <w:p w14:paraId="06DBBFED" w14:textId="77777777" w:rsidR="00BC0F1D" w:rsidRPr="00771B7E" w:rsidRDefault="00BC0F1D">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EA72A" w14:textId="77777777" w:rsidR="00BC0F1D" w:rsidRPr="00771B7E" w:rsidRDefault="00BC0F1D">
            <w:pPr>
              <w:jc w:val="both"/>
              <w:rPr>
                <w:rFonts w:ascii="Arial" w:hAnsi="Arial" w:cs="Arial"/>
                <w:sz w:val="18"/>
                <w:szCs w:val="18"/>
              </w:rPr>
            </w:pPr>
            <w:r w:rsidRPr="00771B7E">
              <w:rPr>
                <w:rFonts w:ascii="Arial" w:hAnsi="Arial" w:cs="Arial"/>
                <w:sz w:val="18"/>
                <w:szCs w:val="18"/>
              </w:rPr>
              <w:t>Enero 2019</w:t>
            </w:r>
          </w:p>
          <w:p w14:paraId="453FB559" w14:textId="77777777" w:rsidR="003D55C6" w:rsidRPr="00771B7E" w:rsidRDefault="003D55C6">
            <w:pPr>
              <w:jc w:val="both"/>
              <w:rPr>
                <w:rFonts w:ascii="Arial" w:hAnsi="Arial" w:cs="Arial"/>
                <w:sz w:val="18"/>
                <w:szCs w:val="18"/>
              </w:rPr>
            </w:pPr>
          </w:p>
          <w:p w14:paraId="381CEEED" w14:textId="77777777" w:rsidR="003D55C6" w:rsidRPr="00771B7E" w:rsidRDefault="003D55C6">
            <w:pPr>
              <w:jc w:val="both"/>
              <w:rPr>
                <w:rFonts w:ascii="Arial" w:hAnsi="Arial" w:cs="Arial"/>
                <w:sz w:val="18"/>
                <w:szCs w:val="18"/>
              </w:rPr>
            </w:pPr>
          </w:p>
          <w:p w14:paraId="4906BA89" w14:textId="77777777" w:rsidR="003D55C6" w:rsidRPr="00771B7E" w:rsidRDefault="003D55C6">
            <w:pPr>
              <w:jc w:val="both"/>
              <w:rPr>
                <w:rFonts w:ascii="Arial" w:hAnsi="Arial" w:cs="Arial"/>
                <w:sz w:val="18"/>
                <w:szCs w:val="18"/>
              </w:rPr>
            </w:pPr>
          </w:p>
          <w:p w14:paraId="222EFBB4" w14:textId="77777777" w:rsidR="003D55C6" w:rsidRPr="00771B7E" w:rsidRDefault="003D55C6">
            <w:pPr>
              <w:jc w:val="both"/>
              <w:rPr>
                <w:rFonts w:ascii="Arial" w:hAnsi="Arial" w:cs="Arial"/>
                <w:sz w:val="18"/>
                <w:szCs w:val="18"/>
              </w:rPr>
            </w:pPr>
          </w:p>
          <w:p w14:paraId="7F7AEB5F" w14:textId="77777777" w:rsidR="003D55C6" w:rsidRPr="00771B7E" w:rsidRDefault="003D55C6">
            <w:pPr>
              <w:jc w:val="both"/>
              <w:rPr>
                <w:rFonts w:ascii="Arial" w:hAnsi="Arial" w:cs="Arial"/>
                <w:sz w:val="18"/>
                <w:szCs w:val="18"/>
              </w:rPr>
            </w:pPr>
          </w:p>
          <w:p w14:paraId="29A4AA8D" w14:textId="77777777" w:rsidR="003D55C6" w:rsidRPr="00771B7E" w:rsidRDefault="003D55C6">
            <w:pPr>
              <w:jc w:val="both"/>
              <w:rPr>
                <w:rFonts w:ascii="Arial" w:hAnsi="Arial" w:cs="Arial"/>
                <w:sz w:val="18"/>
                <w:szCs w:val="18"/>
              </w:rPr>
            </w:pPr>
          </w:p>
          <w:p w14:paraId="2D2FB39F" w14:textId="77777777" w:rsidR="003D55C6" w:rsidRPr="00771B7E" w:rsidRDefault="003D55C6">
            <w:pPr>
              <w:jc w:val="both"/>
              <w:rPr>
                <w:rFonts w:ascii="Arial" w:hAnsi="Arial" w:cs="Arial"/>
                <w:sz w:val="18"/>
                <w:szCs w:val="18"/>
              </w:rPr>
            </w:pPr>
          </w:p>
          <w:p w14:paraId="1A0AB0C8" w14:textId="77777777" w:rsidR="003D55C6" w:rsidRPr="00771B7E" w:rsidRDefault="003D55C6">
            <w:pPr>
              <w:jc w:val="both"/>
              <w:rPr>
                <w:rFonts w:ascii="Arial" w:hAnsi="Arial" w:cs="Arial"/>
                <w:sz w:val="18"/>
                <w:szCs w:val="18"/>
              </w:rPr>
            </w:pPr>
          </w:p>
          <w:p w14:paraId="272CB037" w14:textId="77777777" w:rsidR="003D55C6" w:rsidRPr="00771B7E" w:rsidRDefault="003D55C6">
            <w:pPr>
              <w:jc w:val="both"/>
              <w:rPr>
                <w:rFonts w:ascii="Arial" w:hAnsi="Arial" w:cs="Arial"/>
                <w:sz w:val="18"/>
                <w:szCs w:val="18"/>
              </w:rPr>
            </w:pPr>
          </w:p>
          <w:p w14:paraId="7870F35C" w14:textId="77777777" w:rsidR="003D55C6" w:rsidRPr="00771B7E" w:rsidRDefault="003D55C6">
            <w:pPr>
              <w:jc w:val="both"/>
              <w:rPr>
                <w:rFonts w:ascii="Arial" w:hAnsi="Arial" w:cs="Arial"/>
                <w:sz w:val="18"/>
                <w:szCs w:val="18"/>
              </w:rPr>
            </w:pPr>
          </w:p>
          <w:p w14:paraId="20351845" w14:textId="77777777" w:rsidR="003D55C6" w:rsidRPr="00771B7E" w:rsidRDefault="003D55C6">
            <w:pPr>
              <w:jc w:val="both"/>
              <w:rPr>
                <w:rFonts w:ascii="Arial" w:hAnsi="Arial" w:cs="Arial"/>
                <w:sz w:val="18"/>
                <w:szCs w:val="18"/>
              </w:rPr>
            </w:pPr>
          </w:p>
          <w:p w14:paraId="2FF0CEAF" w14:textId="77777777" w:rsidR="003D55C6" w:rsidRPr="00771B7E" w:rsidRDefault="003D55C6">
            <w:pPr>
              <w:jc w:val="both"/>
              <w:rPr>
                <w:rFonts w:ascii="Arial" w:hAnsi="Arial" w:cs="Arial"/>
                <w:sz w:val="18"/>
                <w:szCs w:val="18"/>
              </w:rPr>
            </w:pPr>
          </w:p>
          <w:p w14:paraId="4435CB38" w14:textId="77777777" w:rsidR="003D55C6" w:rsidRPr="00771B7E" w:rsidRDefault="003D55C6">
            <w:pPr>
              <w:jc w:val="both"/>
              <w:rPr>
                <w:rFonts w:ascii="Arial" w:hAnsi="Arial" w:cs="Arial"/>
                <w:sz w:val="18"/>
                <w:szCs w:val="18"/>
              </w:rPr>
            </w:pPr>
          </w:p>
          <w:p w14:paraId="5EC1ED4C" w14:textId="77777777" w:rsidR="003D55C6" w:rsidRPr="00771B7E" w:rsidRDefault="003D55C6">
            <w:pPr>
              <w:jc w:val="both"/>
              <w:rPr>
                <w:rFonts w:ascii="Arial" w:hAnsi="Arial" w:cs="Arial"/>
                <w:sz w:val="18"/>
                <w:szCs w:val="18"/>
              </w:rPr>
            </w:pPr>
          </w:p>
          <w:p w14:paraId="50B9612A" w14:textId="77777777" w:rsidR="003D55C6" w:rsidRPr="00771B7E" w:rsidRDefault="003D55C6">
            <w:pPr>
              <w:jc w:val="both"/>
              <w:rPr>
                <w:rFonts w:ascii="Arial" w:hAnsi="Arial" w:cs="Arial"/>
                <w:sz w:val="18"/>
                <w:szCs w:val="18"/>
              </w:rPr>
            </w:pPr>
          </w:p>
          <w:p w14:paraId="72D158F4" w14:textId="77777777" w:rsidR="003D55C6" w:rsidRPr="00771B7E" w:rsidRDefault="003D55C6">
            <w:pPr>
              <w:jc w:val="both"/>
              <w:rPr>
                <w:rFonts w:ascii="Arial" w:hAnsi="Arial" w:cs="Arial"/>
                <w:sz w:val="18"/>
                <w:szCs w:val="18"/>
              </w:rPr>
            </w:pPr>
            <w:r w:rsidRPr="00771B7E">
              <w:rPr>
                <w:rFonts w:ascii="Arial" w:hAnsi="Arial" w:cs="Arial"/>
                <w:sz w:val="18"/>
                <w:szCs w:val="18"/>
              </w:rPr>
              <w:t>Seguimientos trimestrales durante la vigencia  según corresponda</w:t>
            </w:r>
          </w:p>
          <w:p w14:paraId="644E7A88" w14:textId="77777777" w:rsidR="00BC0F1D" w:rsidRPr="00771B7E" w:rsidRDefault="00BC0F1D">
            <w:pPr>
              <w:jc w:val="both"/>
              <w:rPr>
                <w:rFonts w:ascii="Arial" w:hAnsi="Arial" w:cs="Arial"/>
                <w:sz w:val="18"/>
                <w:szCs w:val="18"/>
              </w:rPr>
            </w:pPr>
          </w:p>
          <w:p w14:paraId="31BF90D8" w14:textId="77777777" w:rsidR="00BC0F1D" w:rsidRPr="00771B7E" w:rsidRDefault="00BC0F1D">
            <w:pPr>
              <w:jc w:val="both"/>
              <w:rPr>
                <w:rFonts w:ascii="Arial" w:hAnsi="Arial" w:cs="Arial"/>
                <w:sz w:val="18"/>
                <w:szCs w:val="18"/>
              </w:rPr>
            </w:pPr>
          </w:p>
          <w:p w14:paraId="1D24755A" w14:textId="77777777" w:rsidR="003D55C6" w:rsidRPr="00771B7E" w:rsidRDefault="003D55C6">
            <w:pPr>
              <w:jc w:val="both"/>
              <w:rPr>
                <w:rFonts w:ascii="Arial" w:hAnsi="Arial" w:cs="Arial"/>
                <w:sz w:val="18"/>
                <w:szCs w:val="18"/>
              </w:rPr>
            </w:pPr>
          </w:p>
        </w:tc>
      </w:tr>
      <w:tr w:rsidR="007D3331" w:rsidRPr="00771B7E" w14:paraId="4432369A"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A4D7F" w14:textId="50BFDADE" w:rsidR="00564A3C" w:rsidRPr="00771B7E" w:rsidRDefault="007D3331" w:rsidP="007D3331">
            <w:pPr>
              <w:jc w:val="both"/>
              <w:rPr>
                <w:rFonts w:ascii="Arial" w:hAnsi="Arial" w:cs="Arial"/>
                <w:sz w:val="18"/>
                <w:szCs w:val="18"/>
              </w:rPr>
            </w:pPr>
            <w:r w:rsidRPr="00771B7E">
              <w:rPr>
                <w:rFonts w:ascii="Arial" w:hAnsi="Arial" w:cs="Arial"/>
                <w:sz w:val="18"/>
                <w:szCs w:val="18"/>
              </w:rPr>
              <w:lastRenderedPageBreak/>
              <w:t xml:space="preserve">Divulgar a la ciudadanía los resultados de sus investigaciones y desarrollos pedagógicos a través de la participación del IDEP  en la feria del libro para la vigencia 2019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BBF4A" w14:textId="2320824E" w:rsidR="007D3331" w:rsidRPr="00771B7E" w:rsidRDefault="007D3331" w:rsidP="007D3331">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65A47" w14:textId="3133A54E" w:rsidR="007D3331" w:rsidRPr="00771B7E" w:rsidRDefault="007D3331" w:rsidP="007D3331">
            <w:pPr>
              <w:jc w:val="both"/>
              <w:rPr>
                <w:rFonts w:ascii="Arial" w:hAnsi="Arial" w:cs="Arial"/>
                <w:sz w:val="18"/>
                <w:szCs w:val="18"/>
              </w:rPr>
            </w:pPr>
            <w:r w:rsidRPr="00771B7E">
              <w:rPr>
                <w:rFonts w:ascii="Arial" w:hAnsi="Arial" w:cs="Arial"/>
                <w:sz w:val="18"/>
                <w:szCs w:val="18"/>
              </w:rPr>
              <w:t>Junio 2019</w:t>
            </w:r>
          </w:p>
        </w:tc>
      </w:tr>
      <w:tr w:rsidR="00BC0F1D" w:rsidRPr="00771B7E" w14:paraId="53ECEAAE"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803F90" w14:textId="1888417F" w:rsidR="00BC0F1D" w:rsidRPr="00771B7E" w:rsidRDefault="00BC0F1D" w:rsidP="00E25156">
            <w:pPr>
              <w:jc w:val="both"/>
              <w:rPr>
                <w:rFonts w:ascii="Arial" w:hAnsi="Arial" w:cs="Arial"/>
                <w:sz w:val="18"/>
                <w:szCs w:val="18"/>
              </w:rPr>
            </w:pPr>
            <w:r w:rsidRPr="00771B7E">
              <w:rPr>
                <w:rFonts w:ascii="Arial" w:hAnsi="Arial" w:cs="Arial"/>
                <w:sz w:val="18"/>
                <w:szCs w:val="18"/>
              </w:rPr>
              <w:t>Elaborar publicaciones de programas de investigación en la página web, elaboración de carteleras o avisos informativos para ser ubicadas en zonas de fácil acceso de los ciudadanos o  para consulta en redes sociales.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1359D8" w14:textId="77777777" w:rsidR="00BC0F1D" w:rsidRPr="00771B7E" w:rsidRDefault="00BC0F1D" w:rsidP="000E1781">
            <w:pPr>
              <w:jc w:val="both"/>
              <w:rPr>
                <w:rFonts w:ascii="Arial" w:hAnsi="Arial" w:cs="Arial"/>
                <w:sz w:val="18"/>
                <w:szCs w:val="18"/>
              </w:rPr>
            </w:pPr>
            <w:r w:rsidRPr="00771B7E">
              <w:rPr>
                <w:rFonts w:ascii="Arial" w:hAnsi="Arial" w:cs="Arial"/>
                <w:sz w:val="18"/>
                <w:szCs w:val="18"/>
              </w:rPr>
              <w:t>Subdirección Académica- Divulgación y Comunicación</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A87EA" w14:textId="77777777" w:rsidR="00BC0F1D" w:rsidRPr="00771B7E" w:rsidRDefault="00BC0F1D" w:rsidP="000E1781">
            <w:pPr>
              <w:jc w:val="both"/>
              <w:rPr>
                <w:rFonts w:ascii="Arial" w:hAnsi="Arial" w:cs="Arial"/>
                <w:sz w:val="18"/>
                <w:szCs w:val="18"/>
              </w:rPr>
            </w:pPr>
            <w:r w:rsidRPr="00771B7E">
              <w:rPr>
                <w:rFonts w:ascii="Arial" w:hAnsi="Arial" w:cs="Arial"/>
                <w:sz w:val="18"/>
                <w:szCs w:val="18"/>
              </w:rPr>
              <w:t>Julio 2019</w:t>
            </w:r>
          </w:p>
        </w:tc>
      </w:tr>
      <w:tr w:rsidR="007D3331" w:rsidRPr="00771B7E" w14:paraId="1363853E"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EA43B" w14:textId="4A4BF381" w:rsidR="007D3331" w:rsidRPr="00771B7E" w:rsidRDefault="00951EA4" w:rsidP="007D3331">
            <w:pPr>
              <w:jc w:val="both"/>
              <w:rPr>
                <w:rFonts w:ascii="Arial" w:hAnsi="Arial" w:cs="Arial"/>
                <w:sz w:val="18"/>
                <w:szCs w:val="18"/>
              </w:rPr>
            </w:pPr>
            <w:r w:rsidRPr="00951EA4">
              <w:rPr>
                <w:rFonts w:ascii="Arial" w:hAnsi="Arial" w:cs="Arial"/>
                <w:sz w:val="18"/>
                <w:szCs w:val="18"/>
              </w:rPr>
              <w:t>Actualizar la información contenida en el vínculo Proyectos Académicos de acuerdo con los estudios a realizar en 2019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F43A0" w14:textId="2831811D" w:rsidR="007D3331" w:rsidRPr="00771B7E" w:rsidRDefault="007D3331" w:rsidP="007D3331">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222F3" w14:textId="0687BCE4" w:rsidR="007D3331" w:rsidRPr="00771B7E" w:rsidRDefault="007D3331" w:rsidP="007D3331">
            <w:pPr>
              <w:jc w:val="both"/>
              <w:rPr>
                <w:rFonts w:ascii="Arial" w:hAnsi="Arial" w:cs="Arial"/>
                <w:sz w:val="18"/>
                <w:szCs w:val="18"/>
              </w:rPr>
            </w:pPr>
            <w:r w:rsidRPr="00771B7E">
              <w:rPr>
                <w:rFonts w:ascii="Arial" w:hAnsi="Arial" w:cs="Arial"/>
                <w:sz w:val="18"/>
                <w:szCs w:val="18"/>
              </w:rPr>
              <w:t>Octubre 2019</w:t>
            </w:r>
          </w:p>
        </w:tc>
      </w:tr>
      <w:tr w:rsidR="007D3331" w:rsidRPr="00771B7E" w14:paraId="08E7C85C"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4C364" w14:textId="3E12D33C" w:rsidR="007D3331" w:rsidRPr="00771B7E" w:rsidRDefault="00951EA4" w:rsidP="007D3331">
            <w:pPr>
              <w:jc w:val="both"/>
              <w:rPr>
                <w:rFonts w:ascii="Arial" w:hAnsi="Arial" w:cs="Arial"/>
                <w:sz w:val="18"/>
                <w:szCs w:val="18"/>
              </w:rPr>
            </w:pPr>
            <w:r w:rsidRPr="00951EA4">
              <w:rPr>
                <w:rFonts w:ascii="Arial" w:hAnsi="Arial" w:cs="Arial"/>
                <w:sz w:val="18"/>
                <w:szCs w:val="18"/>
              </w:rPr>
              <w:t>Elaborar y divulgar boletín  de comunicación externo e interno del IDEP a la ciudadanía</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8CB83" w14:textId="0E330B7B" w:rsidR="007D3331" w:rsidRPr="00771B7E" w:rsidRDefault="007D3331" w:rsidP="007D3331">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447EB" w14:textId="01CF3DEF" w:rsidR="007D3331" w:rsidRPr="00771B7E" w:rsidRDefault="007D3331" w:rsidP="007D3331">
            <w:pPr>
              <w:jc w:val="both"/>
              <w:rPr>
                <w:rFonts w:ascii="Arial" w:hAnsi="Arial" w:cs="Arial"/>
                <w:sz w:val="18"/>
                <w:szCs w:val="18"/>
              </w:rPr>
            </w:pPr>
            <w:r w:rsidRPr="00771B7E">
              <w:rPr>
                <w:rFonts w:ascii="Arial" w:hAnsi="Arial" w:cs="Arial"/>
                <w:sz w:val="18"/>
                <w:szCs w:val="18"/>
              </w:rPr>
              <w:t>Diciembre 2019</w:t>
            </w:r>
          </w:p>
        </w:tc>
      </w:tr>
      <w:tr w:rsidR="007D3331" w:rsidRPr="00771B7E" w14:paraId="1372088F" w14:textId="77777777" w:rsidTr="00BC0F1D">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B6181" w14:textId="603337DE" w:rsidR="007D3331" w:rsidRPr="00771B7E" w:rsidRDefault="007D3331" w:rsidP="007D3331">
            <w:pPr>
              <w:jc w:val="both"/>
              <w:rPr>
                <w:rFonts w:ascii="Arial" w:hAnsi="Arial" w:cs="Arial"/>
                <w:sz w:val="18"/>
                <w:szCs w:val="18"/>
              </w:rPr>
            </w:pPr>
            <w:r w:rsidRPr="00771B7E">
              <w:rPr>
                <w:rFonts w:ascii="Arial" w:hAnsi="Arial" w:cs="Arial"/>
                <w:sz w:val="18"/>
                <w:szCs w:val="18"/>
              </w:rPr>
              <w:t>Elaborar, difundir el informe de rendición de cuentas en la página web de la entidad, foros, redes sociales con el fin de recibir observaciones y /o sugerencias de temas que la ciudadanía considere.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339C9" w14:textId="77777777" w:rsidR="007D3331" w:rsidRPr="00771B7E" w:rsidRDefault="007D3331" w:rsidP="007D3331">
            <w:pPr>
              <w:jc w:val="both"/>
              <w:rPr>
                <w:rFonts w:ascii="Arial" w:hAnsi="Arial" w:cs="Arial"/>
                <w:sz w:val="18"/>
                <w:szCs w:val="18"/>
              </w:rPr>
            </w:pPr>
            <w:r w:rsidRPr="00771B7E">
              <w:rPr>
                <w:rFonts w:ascii="Arial" w:hAnsi="Arial" w:cs="Arial"/>
                <w:sz w:val="18"/>
                <w:szCs w:val="18"/>
              </w:rPr>
              <w:t>Oficina Asesora de Planeación</w:t>
            </w:r>
          </w:p>
          <w:p w14:paraId="25D884BB" w14:textId="38FC8A58" w:rsidR="007D3331" w:rsidRPr="00771B7E" w:rsidRDefault="007D3331" w:rsidP="007D3331">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8BEF0" w14:textId="4B541FE5" w:rsidR="007D3331" w:rsidRPr="00771B7E" w:rsidRDefault="007D3331" w:rsidP="007D3331">
            <w:pPr>
              <w:jc w:val="both"/>
              <w:rPr>
                <w:rFonts w:ascii="Arial" w:hAnsi="Arial" w:cs="Arial"/>
                <w:sz w:val="18"/>
                <w:szCs w:val="18"/>
              </w:rPr>
            </w:pPr>
            <w:r w:rsidRPr="00771B7E">
              <w:rPr>
                <w:rFonts w:ascii="Arial" w:hAnsi="Arial" w:cs="Arial"/>
                <w:sz w:val="18"/>
                <w:szCs w:val="18"/>
              </w:rPr>
              <w:t>Diciembre 2019</w:t>
            </w:r>
          </w:p>
        </w:tc>
      </w:tr>
    </w:tbl>
    <w:p w14:paraId="68664329" w14:textId="77777777" w:rsidR="009D4E65" w:rsidRPr="00771B7E" w:rsidRDefault="009D4E65" w:rsidP="009E6C59">
      <w:pPr>
        <w:jc w:val="both"/>
        <w:rPr>
          <w:rFonts w:ascii="Arial" w:hAnsi="Arial" w:cs="Arial"/>
          <w:sz w:val="22"/>
          <w:szCs w:val="22"/>
        </w:rPr>
      </w:pPr>
    </w:p>
    <w:p w14:paraId="362B7D72" w14:textId="77777777" w:rsidR="009D4E65" w:rsidRPr="00771B7E" w:rsidRDefault="009D4E65" w:rsidP="000E1781">
      <w:pPr>
        <w:jc w:val="both"/>
        <w:rPr>
          <w:rFonts w:ascii="Arial" w:hAnsi="Arial" w:cs="Arial"/>
          <w:sz w:val="22"/>
          <w:szCs w:val="22"/>
        </w:rPr>
      </w:pPr>
    </w:p>
    <w:p w14:paraId="3D785A6D" w14:textId="77777777" w:rsidR="00B37228" w:rsidRPr="00771B7E" w:rsidRDefault="00B37228" w:rsidP="000E1781">
      <w:pPr>
        <w:jc w:val="both"/>
        <w:rPr>
          <w:rFonts w:ascii="Arial" w:hAnsi="Arial" w:cs="Arial"/>
          <w:sz w:val="22"/>
          <w:szCs w:val="22"/>
        </w:rPr>
      </w:pPr>
    </w:p>
    <w:p w14:paraId="3027FBB9" w14:textId="5CDF9B4F" w:rsidR="006E6F9A" w:rsidRPr="00771B7E" w:rsidRDefault="006E6F9A" w:rsidP="006E6F9A">
      <w:pPr>
        <w:pStyle w:val="Ttulo2"/>
        <w:ind w:left="644"/>
        <w:rPr>
          <w:rFonts w:ascii="Arial" w:hAnsi="Arial" w:cs="Arial"/>
          <w:color w:val="auto"/>
          <w:sz w:val="22"/>
          <w:szCs w:val="22"/>
        </w:rPr>
      </w:pPr>
      <w:bookmarkStart w:id="16" w:name="_Toc1986561"/>
      <w:r w:rsidRPr="00771B7E">
        <w:rPr>
          <w:rFonts w:ascii="Arial" w:hAnsi="Arial" w:cs="Arial"/>
          <w:color w:val="auto"/>
          <w:sz w:val="22"/>
          <w:szCs w:val="22"/>
        </w:rPr>
        <w:t xml:space="preserve">3.4 </w:t>
      </w:r>
      <w:r w:rsidR="00771B7E" w:rsidRPr="00771B7E">
        <w:rPr>
          <w:rFonts w:ascii="Arial" w:hAnsi="Arial" w:cs="Arial"/>
          <w:color w:val="auto"/>
          <w:sz w:val="22"/>
          <w:szCs w:val="22"/>
        </w:rPr>
        <w:t xml:space="preserve">  </w:t>
      </w:r>
      <w:r w:rsidRPr="00771B7E">
        <w:rPr>
          <w:rFonts w:ascii="Arial" w:hAnsi="Arial" w:cs="Arial"/>
          <w:color w:val="auto"/>
          <w:sz w:val="22"/>
          <w:szCs w:val="22"/>
        </w:rPr>
        <w:t>Diálogos ciudadanos</w:t>
      </w:r>
      <w:bookmarkEnd w:id="16"/>
    </w:p>
    <w:p w14:paraId="08F0B29D" w14:textId="77777777" w:rsidR="006E6F9A" w:rsidRPr="00771B7E" w:rsidRDefault="006E6F9A" w:rsidP="006E6F9A">
      <w:pPr>
        <w:jc w:val="both"/>
        <w:rPr>
          <w:rFonts w:ascii="Arial" w:hAnsi="Arial" w:cs="Arial"/>
          <w:sz w:val="22"/>
          <w:szCs w:val="22"/>
        </w:rPr>
      </w:pPr>
    </w:p>
    <w:p w14:paraId="1500F2AD" w14:textId="77777777" w:rsidR="006E6F9A" w:rsidRPr="00771B7E" w:rsidRDefault="006E6F9A" w:rsidP="006E6F9A">
      <w:pPr>
        <w:jc w:val="both"/>
        <w:rPr>
          <w:rFonts w:ascii="Arial" w:hAnsi="Arial" w:cs="Arial"/>
          <w:sz w:val="22"/>
          <w:szCs w:val="22"/>
        </w:rPr>
      </w:pPr>
      <w:r w:rsidRPr="00771B7E">
        <w:rPr>
          <w:rFonts w:ascii="Arial" w:hAnsi="Arial" w:cs="Arial"/>
          <w:sz w:val="22"/>
          <w:szCs w:val="22"/>
        </w:rPr>
        <w:t>Para la vigencia, el IDEP establece las siguientes acciones de diálogo:</w:t>
      </w:r>
    </w:p>
    <w:p w14:paraId="606A8ED1" w14:textId="77777777" w:rsidR="006E6F9A" w:rsidRPr="00771B7E" w:rsidRDefault="006E6F9A" w:rsidP="006E6F9A">
      <w:pPr>
        <w:jc w:val="both"/>
        <w:rPr>
          <w:rFonts w:ascii="Arial" w:hAnsi="Arial" w:cs="Arial"/>
          <w:sz w:val="22"/>
          <w:szCs w:val="22"/>
        </w:rPr>
      </w:pPr>
    </w:p>
    <w:p w14:paraId="72F5DC10" w14:textId="77777777" w:rsidR="006E6F9A" w:rsidRPr="00771B7E" w:rsidRDefault="006E6F9A" w:rsidP="006E6F9A">
      <w:pPr>
        <w:jc w:val="both"/>
        <w:rPr>
          <w:rFonts w:ascii="Arial" w:hAnsi="Arial" w:cs="Arial"/>
          <w:sz w:val="22"/>
          <w:szCs w:val="22"/>
        </w:rPr>
      </w:pPr>
    </w:p>
    <w:tbl>
      <w:tblPr>
        <w:tblStyle w:val="Tablaconcuadrcula"/>
        <w:tblW w:w="0" w:type="auto"/>
        <w:tblLook w:val="04A0" w:firstRow="1" w:lastRow="0" w:firstColumn="1" w:lastColumn="0" w:noHBand="0" w:noVBand="1"/>
      </w:tblPr>
      <w:tblGrid>
        <w:gridCol w:w="4673"/>
        <w:gridCol w:w="2410"/>
        <w:gridCol w:w="2121"/>
      </w:tblGrid>
      <w:tr w:rsidR="006E6F9A" w:rsidRPr="00771B7E" w14:paraId="5B3B101F"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8407B" w14:textId="77777777" w:rsidR="006E6F9A" w:rsidRPr="00771B7E" w:rsidRDefault="006E6F9A" w:rsidP="00486888">
            <w:pPr>
              <w:jc w:val="center"/>
              <w:rPr>
                <w:rFonts w:ascii="Arial" w:hAnsi="Arial" w:cs="Arial"/>
                <w:b/>
                <w:sz w:val="18"/>
                <w:szCs w:val="18"/>
              </w:rPr>
            </w:pPr>
            <w:r w:rsidRPr="00771B7E">
              <w:rPr>
                <w:rFonts w:ascii="Arial" w:hAnsi="Arial" w:cs="Arial"/>
                <w:b/>
                <w:sz w:val="18"/>
                <w:szCs w:val="18"/>
              </w:rPr>
              <w:t>ACTIVIDAD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E9377" w14:textId="77777777" w:rsidR="006E6F9A" w:rsidRPr="00771B7E" w:rsidRDefault="006E6F9A" w:rsidP="00486888">
            <w:pPr>
              <w:jc w:val="center"/>
              <w:rPr>
                <w:rFonts w:ascii="Arial" w:hAnsi="Arial" w:cs="Arial"/>
                <w:b/>
                <w:sz w:val="18"/>
                <w:szCs w:val="18"/>
              </w:rPr>
            </w:pPr>
            <w:r w:rsidRPr="00771B7E">
              <w:rPr>
                <w:rFonts w:ascii="Arial" w:hAnsi="Arial" w:cs="Arial"/>
                <w:b/>
                <w:sz w:val="18"/>
                <w:szCs w:val="18"/>
              </w:rPr>
              <w:t>REPONSABLE</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8BFB77" w14:textId="77777777" w:rsidR="006E6F9A" w:rsidRPr="00771B7E" w:rsidRDefault="006E6F9A" w:rsidP="00486888">
            <w:pPr>
              <w:jc w:val="center"/>
              <w:rPr>
                <w:rFonts w:ascii="Arial" w:hAnsi="Arial" w:cs="Arial"/>
                <w:b/>
                <w:sz w:val="18"/>
                <w:szCs w:val="18"/>
              </w:rPr>
            </w:pPr>
            <w:r w:rsidRPr="00771B7E">
              <w:rPr>
                <w:rFonts w:ascii="Arial" w:hAnsi="Arial" w:cs="Arial"/>
                <w:b/>
                <w:sz w:val="18"/>
                <w:szCs w:val="18"/>
              </w:rPr>
              <w:t xml:space="preserve">FECHA </w:t>
            </w:r>
          </w:p>
        </w:tc>
      </w:tr>
      <w:tr w:rsidR="006E6F9A" w:rsidRPr="00771B7E" w14:paraId="14FB2417"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653E6"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Apertura convocatoria a participación en el programa de Pensamiento crítico 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2D61D7"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F534B"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Febrero 2019</w:t>
            </w:r>
          </w:p>
        </w:tc>
      </w:tr>
      <w:tr w:rsidR="006E6F9A" w:rsidRPr="00771B7E" w14:paraId="07F6D0AD"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4308B"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 xml:space="preserve">Encuentros de Socialización y </w:t>
            </w:r>
            <w:proofErr w:type="spellStart"/>
            <w:r w:rsidRPr="00771B7E">
              <w:rPr>
                <w:rFonts w:ascii="Arial" w:hAnsi="Arial" w:cs="Arial"/>
                <w:sz w:val="18"/>
                <w:szCs w:val="18"/>
              </w:rPr>
              <w:t>Visibilización</w:t>
            </w:r>
            <w:proofErr w:type="spellEnd"/>
            <w:r w:rsidRPr="00771B7E">
              <w:rPr>
                <w:rFonts w:ascii="Arial" w:hAnsi="Arial" w:cs="Arial"/>
                <w:sz w:val="18"/>
                <w:szCs w:val="18"/>
              </w:rPr>
              <w:t xml:space="preserve"> -INNOVAIDEP</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70217"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7EBAC"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Febrero 2019</w:t>
            </w:r>
          </w:p>
          <w:p w14:paraId="3928F71F"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 xml:space="preserve">Marzo 2019 </w:t>
            </w:r>
          </w:p>
          <w:p w14:paraId="739D22F2"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 xml:space="preserve">Abril 2019 </w:t>
            </w:r>
          </w:p>
          <w:p w14:paraId="6E529114"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Mayo 2019</w:t>
            </w:r>
          </w:p>
          <w:p w14:paraId="70948D25"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Junio 2019</w:t>
            </w:r>
          </w:p>
          <w:p w14:paraId="0DF7BF67"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Julio 2019</w:t>
            </w:r>
          </w:p>
          <w:p w14:paraId="747688BD"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Agosto 2019</w:t>
            </w:r>
          </w:p>
          <w:p w14:paraId="0268AEF4"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lastRenderedPageBreak/>
              <w:t>Septiembre 2019</w:t>
            </w:r>
          </w:p>
          <w:p w14:paraId="050C7686"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Octubre 2019</w:t>
            </w:r>
          </w:p>
          <w:p w14:paraId="4A2BA8C8"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Noviembre 2019</w:t>
            </w:r>
          </w:p>
        </w:tc>
      </w:tr>
      <w:tr w:rsidR="006E6F9A" w:rsidRPr="00771B7E" w14:paraId="33C6DB0C"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020BE"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lastRenderedPageBreak/>
              <w:t>Convocatoria a Inscripción a la XIII versión del Premio a la Investigación e Innovación Educativa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4CCB9"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8EBBC9"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Mayo 2019</w:t>
            </w:r>
          </w:p>
        </w:tc>
      </w:tr>
      <w:tr w:rsidR="006E6F9A" w:rsidRPr="00771B7E" w14:paraId="528F2E67"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E2AB5" w14:textId="77777777" w:rsidR="006E6F9A" w:rsidRPr="00771B7E" w:rsidRDefault="006E6F9A" w:rsidP="00486888">
            <w:pPr>
              <w:overflowPunct/>
              <w:autoSpaceDE/>
              <w:adjustRightInd/>
              <w:jc w:val="both"/>
              <w:rPr>
                <w:rFonts w:ascii="Arial" w:hAnsi="Arial" w:cs="Arial"/>
                <w:sz w:val="18"/>
                <w:szCs w:val="18"/>
              </w:rPr>
            </w:pPr>
            <w:r w:rsidRPr="00771B7E">
              <w:rPr>
                <w:rFonts w:ascii="Arial" w:hAnsi="Arial" w:cs="Arial"/>
                <w:sz w:val="18"/>
                <w:szCs w:val="18"/>
              </w:rPr>
              <w:t>Informar a la ciudadanía y grupos de interés definidos,  los resultados de sus investigaciones y desarrollos pedagógicos a través de:</w:t>
            </w:r>
          </w:p>
          <w:p w14:paraId="7649494D" w14:textId="77777777" w:rsidR="006E6F9A" w:rsidRPr="00771B7E" w:rsidRDefault="006E6F9A" w:rsidP="00486888">
            <w:pPr>
              <w:overflowPunct/>
              <w:autoSpaceDE/>
              <w:adjustRightInd/>
              <w:rPr>
                <w:rFonts w:ascii="Arial" w:hAnsi="Arial" w:cs="Arial"/>
                <w:color w:val="000000"/>
                <w:sz w:val="18"/>
                <w:szCs w:val="18"/>
                <w:lang w:val="es-CO"/>
              </w:rPr>
            </w:pPr>
            <w:r w:rsidRPr="00771B7E">
              <w:rPr>
                <w:rFonts w:ascii="Arial" w:hAnsi="Arial" w:cs="Arial"/>
                <w:sz w:val="18"/>
                <w:szCs w:val="18"/>
              </w:rPr>
              <w:br/>
              <w:t>• Participación en la feria del libro</w:t>
            </w:r>
            <w:r w:rsidRPr="00771B7E">
              <w:rPr>
                <w:rFonts w:ascii="Arial" w:hAnsi="Arial" w:cs="Arial"/>
                <w:sz w:val="18"/>
                <w:szCs w:val="18"/>
              </w:rPr>
              <w:br/>
              <w:t>• Libros</w:t>
            </w:r>
            <w:r w:rsidRPr="00771B7E">
              <w:rPr>
                <w:rFonts w:ascii="Arial" w:hAnsi="Arial" w:cs="Arial"/>
                <w:sz w:val="18"/>
                <w:szCs w:val="18"/>
              </w:rPr>
              <w:br/>
              <w:t>• Revista “Educación y Ciudad”</w:t>
            </w:r>
            <w:r w:rsidRPr="00771B7E">
              <w:rPr>
                <w:rFonts w:ascii="Arial" w:hAnsi="Arial" w:cs="Arial"/>
                <w:sz w:val="18"/>
                <w:szCs w:val="18"/>
              </w:rPr>
              <w:br/>
              <w:t>• Magazín “Aula Urbana”</w:t>
            </w:r>
            <w:r w:rsidRPr="00771B7E">
              <w:rPr>
                <w:rFonts w:ascii="Arial" w:hAnsi="Arial" w:cs="Arial"/>
                <w:sz w:val="18"/>
                <w:szCs w:val="18"/>
              </w:rPr>
              <w:br/>
              <w:t>• Medios virtuales: Foros y redes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E105F" w14:textId="77777777" w:rsidR="006E6F9A" w:rsidRPr="00771B7E" w:rsidRDefault="006E6F9A" w:rsidP="00486888">
            <w:pPr>
              <w:rPr>
                <w:rFonts w:ascii="Arial" w:hAnsi="Arial" w:cs="Arial"/>
                <w:sz w:val="18"/>
                <w:szCs w:val="18"/>
              </w:rPr>
            </w:pPr>
            <w:r w:rsidRPr="00771B7E">
              <w:rPr>
                <w:rFonts w:ascii="Arial" w:hAnsi="Arial" w:cs="Arial"/>
                <w:sz w:val="18"/>
                <w:szCs w:val="18"/>
              </w:rPr>
              <w:t>Subdirección Académica- Proceso de Divulgación y comunicación</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70107" w14:textId="77777777" w:rsidR="006E6F9A" w:rsidRPr="00771B7E" w:rsidRDefault="006E6F9A" w:rsidP="00486888">
            <w:pPr>
              <w:jc w:val="center"/>
              <w:rPr>
                <w:rFonts w:ascii="Arial" w:hAnsi="Arial" w:cs="Arial"/>
                <w:sz w:val="18"/>
                <w:szCs w:val="18"/>
              </w:rPr>
            </w:pPr>
            <w:r w:rsidRPr="00771B7E">
              <w:rPr>
                <w:rFonts w:ascii="Arial" w:hAnsi="Arial" w:cs="Arial"/>
                <w:sz w:val="18"/>
                <w:szCs w:val="18"/>
              </w:rPr>
              <w:t>Cada vez se realice una investigación y desarrollo pedagógico</w:t>
            </w:r>
          </w:p>
        </w:tc>
      </w:tr>
      <w:tr w:rsidR="006E6F9A" w:rsidRPr="00771B7E" w14:paraId="003C2F51"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F3FC7C" w14:textId="77777777" w:rsidR="006E6F9A" w:rsidRPr="00771B7E" w:rsidRDefault="006E6F9A" w:rsidP="00486888">
            <w:pPr>
              <w:overflowPunct/>
              <w:autoSpaceDE/>
              <w:adjustRightInd/>
              <w:rPr>
                <w:rFonts w:ascii="Arial" w:hAnsi="Arial" w:cs="Arial"/>
                <w:sz w:val="18"/>
                <w:szCs w:val="18"/>
                <w:lang w:val="es-CO"/>
              </w:rPr>
            </w:pPr>
            <w:r w:rsidRPr="00771B7E">
              <w:rPr>
                <w:rFonts w:ascii="Arial" w:hAnsi="Arial" w:cs="Arial"/>
                <w:sz w:val="18"/>
                <w:szCs w:val="18"/>
              </w:rPr>
              <w:t>Espacios generados por el Sector Educación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9FD70" w14:textId="77777777" w:rsidR="006E6F9A" w:rsidRPr="00771B7E" w:rsidRDefault="006E6F9A" w:rsidP="00486888">
            <w:pPr>
              <w:rPr>
                <w:rFonts w:ascii="Arial" w:hAnsi="Arial" w:cs="Arial"/>
                <w:sz w:val="18"/>
                <w:szCs w:val="18"/>
              </w:rPr>
            </w:pPr>
            <w:r w:rsidRPr="00771B7E">
              <w:rPr>
                <w:rFonts w:ascii="Arial" w:hAnsi="Arial" w:cs="Arial"/>
                <w:sz w:val="18"/>
                <w:szCs w:val="18"/>
              </w:rPr>
              <w:t>Subdirección Académica</w:t>
            </w:r>
            <w:r w:rsidRPr="00771B7E">
              <w:rPr>
                <w:rFonts w:ascii="Arial" w:hAnsi="Arial" w:cs="Arial"/>
                <w:sz w:val="18"/>
                <w:szCs w:val="18"/>
              </w:rPr>
              <w:br/>
              <w:t>Oficina Asesora Jurídica</w:t>
            </w:r>
            <w:r w:rsidRPr="00771B7E">
              <w:rPr>
                <w:rFonts w:ascii="Arial" w:hAnsi="Arial" w:cs="Arial"/>
                <w:sz w:val="18"/>
                <w:szCs w:val="18"/>
              </w:rPr>
              <w:br/>
              <w:t>Oficina Asesora de Planeación</w:t>
            </w:r>
          </w:p>
          <w:p w14:paraId="65EC63BD" w14:textId="77777777" w:rsidR="006E6F9A" w:rsidRPr="00771B7E" w:rsidRDefault="006E6F9A" w:rsidP="00486888">
            <w:pPr>
              <w:rPr>
                <w:rFonts w:ascii="Arial" w:hAnsi="Arial" w:cs="Arial"/>
                <w:color w:val="000000"/>
                <w:sz w:val="18"/>
                <w:szCs w:val="18"/>
              </w:rPr>
            </w:pP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B3064" w14:textId="77777777" w:rsidR="006E6F9A" w:rsidRPr="00771B7E" w:rsidRDefault="006E6F9A" w:rsidP="00486888">
            <w:pPr>
              <w:jc w:val="center"/>
              <w:rPr>
                <w:rFonts w:ascii="Arial" w:hAnsi="Arial" w:cs="Arial"/>
                <w:sz w:val="18"/>
                <w:szCs w:val="18"/>
              </w:rPr>
            </w:pPr>
            <w:r w:rsidRPr="00771B7E">
              <w:rPr>
                <w:rFonts w:ascii="Arial" w:hAnsi="Arial" w:cs="Arial"/>
                <w:sz w:val="18"/>
                <w:szCs w:val="18"/>
              </w:rPr>
              <w:t>Cada vez que la Secretaría de Educación Distrital genere espacios de participación</w:t>
            </w:r>
          </w:p>
        </w:tc>
      </w:tr>
      <w:tr w:rsidR="006E6F9A" w:rsidRPr="00771B7E" w14:paraId="38930A44" w14:textId="77777777" w:rsidTr="0076358D">
        <w:trPr>
          <w:trHeight w:val="800"/>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FF8BD"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Realizar cinco (5) espacios de rendición de cuentas en los eventos que se programen desde la Subdirección Académica  del IDEP  en la vigencia 2019 </w:t>
            </w:r>
          </w:p>
          <w:p w14:paraId="54263AFC" w14:textId="77777777" w:rsidR="006E6F9A" w:rsidRPr="00771B7E" w:rsidRDefault="006E6F9A" w:rsidP="00486888">
            <w:pPr>
              <w:jc w:val="both"/>
              <w:rPr>
                <w:rFonts w:ascii="Arial" w:hAnsi="Arial" w:cs="Arial"/>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1B2FB"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Subdirección Académica</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2C346F" w14:textId="77777777" w:rsidR="006E6F9A" w:rsidRPr="00771B7E" w:rsidRDefault="006E6F9A" w:rsidP="00486888">
            <w:pPr>
              <w:jc w:val="center"/>
              <w:rPr>
                <w:rFonts w:ascii="Arial" w:hAnsi="Arial" w:cs="Arial"/>
                <w:sz w:val="18"/>
                <w:szCs w:val="18"/>
              </w:rPr>
            </w:pPr>
            <w:r w:rsidRPr="00771B7E">
              <w:rPr>
                <w:rFonts w:ascii="Arial" w:hAnsi="Arial" w:cs="Arial"/>
                <w:sz w:val="18"/>
                <w:szCs w:val="18"/>
              </w:rPr>
              <w:t>Cuando  se finalice  una investigación y desarrollo pedagógico</w:t>
            </w:r>
          </w:p>
          <w:p w14:paraId="67E4335B" w14:textId="77777777" w:rsidR="006E6F9A" w:rsidRPr="00771B7E" w:rsidRDefault="006E6F9A" w:rsidP="00486888">
            <w:pPr>
              <w:jc w:val="center"/>
              <w:rPr>
                <w:rFonts w:ascii="Arial" w:hAnsi="Arial" w:cs="Arial"/>
                <w:sz w:val="18"/>
                <w:szCs w:val="18"/>
              </w:rPr>
            </w:pPr>
            <w:r w:rsidRPr="00771B7E">
              <w:rPr>
                <w:rFonts w:ascii="Arial" w:hAnsi="Arial" w:cs="Arial"/>
                <w:sz w:val="18"/>
                <w:szCs w:val="18"/>
              </w:rPr>
              <w:t>(Último cuatrimestre 2019)</w:t>
            </w:r>
          </w:p>
        </w:tc>
      </w:tr>
      <w:tr w:rsidR="006E6F9A" w:rsidRPr="00771B7E" w14:paraId="2A194994" w14:textId="77777777" w:rsidTr="00486888">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DB53B" w14:textId="77777777" w:rsidR="006E6F9A" w:rsidRPr="00771B7E" w:rsidRDefault="006E6F9A" w:rsidP="00486888">
            <w:pPr>
              <w:overflowPunct/>
              <w:autoSpaceDE/>
              <w:adjustRightInd/>
              <w:jc w:val="both"/>
              <w:rPr>
                <w:rFonts w:ascii="Arial" w:hAnsi="Arial" w:cs="Arial"/>
                <w:sz w:val="18"/>
                <w:szCs w:val="18"/>
                <w:lang w:val="es-CO"/>
              </w:rPr>
            </w:pPr>
            <w:r w:rsidRPr="00771B7E">
              <w:rPr>
                <w:rFonts w:ascii="Arial" w:hAnsi="Arial" w:cs="Arial"/>
                <w:sz w:val="18"/>
                <w:szCs w:val="18"/>
              </w:rPr>
              <w:t>Audiencia Pública de Rendición de Cuentas – vigencia 2019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E932A" w14:textId="77777777" w:rsidR="006E6F9A" w:rsidRPr="00771B7E" w:rsidRDefault="006E6F9A" w:rsidP="00486888">
            <w:pPr>
              <w:rPr>
                <w:rFonts w:ascii="Arial" w:hAnsi="Arial" w:cs="Arial"/>
                <w:sz w:val="18"/>
                <w:szCs w:val="18"/>
              </w:rPr>
            </w:pPr>
            <w:r w:rsidRPr="00771B7E">
              <w:rPr>
                <w:rFonts w:ascii="Arial" w:hAnsi="Arial" w:cs="Arial"/>
                <w:sz w:val="18"/>
                <w:szCs w:val="18"/>
              </w:rPr>
              <w:t>Todas las áreas del IDEP</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0A07A" w14:textId="77777777" w:rsidR="006E6F9A" w:rsidRPr="00771B7E" w:rsidRDefault="006E6F9A" w:rsidP="00486888">
            <w:pPr>
              <w:jc w:val="both"/>
              <w:rPr>
                <w:rFonts w:ascii="Arial" w:hAnsi="Arial" w:cs="Arial"/>
                <w:sz w:val="18"/>
                <w:szCs w:val="18"/>
              </w:rPr>
            </w:pPr>
            <w:r w:rsidRPr="00771B7E">
              <w:rPr>
                <w:rFonts w:ascii="Arial" w:hAnsi="Arial" w:cs="Arial"/>
                <w:sz w:val="18"/>
                <w:szCs w:val="18"/>
              </w:rPr>
              <w:t>Diciembre 2019</w:t>
            </w:r>
          </w:p>
        </w:tc>
      </w:tr>
    </w:tbl>
    <w:p w14:paraId="272883C4" w14:textId="77777777" w:rsidR="006E6F9A" w:rsidRPr="00771B7E" w:rsidRDefault="006E6F9A" w:rsidP="006E6F9A">
      <w:pPr>
        <w:jc w:val="both"/>
        <w:rPr>
          <w:rFonts w:ascii="Arial" w:hAnsi="Arial" w:cs="Arial"/>
          <w:sz w:val="22"/>
          <w:szCs w:val="22"/>
        </w:rPr>
      </w:pPr>
    </w:p>
    <w:p w14:paraId="5853B73D" w14:textId="77777777" w:rsidR="006E6F9A" w:rsidRPr="00771B7E" w:rsidRDefault="006E6F9A" w:rsidP="006E6F9A">
      <w:pPr>
        <w:jc w:val="both"/>
        <w:rPr>
          <w:rFonts w:ascii="Arial" w:hAnsi="Arial" w:cs="Arial"/>
          <w:sz w:val="22"/>
          <w:szCs w:val="22"/>
        </w:rPr>
      </w:pPr>
    </w:p>
    <w:p w14:paraId="1EA9927A" w14:textId="586629D0" w:rsidR="006E6F9A" w:rsidRPr="00771B7E" w:rsidRDefault="006E6F9A" w:rsidP="006E6F9A">
      <w:pPr>
        <w:jc w:val="both"/>
        <w:rPr>
          <w:rFonts w:ascii="Arial" w:hAnsi="Arial" w:cs="Arial"/>
          <w:sz w:val="22"/>
          <w:szCs w:val="22"/>
        </w:rPr>
      </w:pPr>
      <w:r w:rsidRPr="00771B7E">
        <w:rPr>
          <w:rFonts w:ascii="Arial" w:hAnsi="Arial" w:cs="Arial"/>
          <w:sz w:val="22"/>
          <w:szCs w:val="22"/>
        </w:rPr>
        <w:t xml:space="preserve">Adicionalmente, se crearán espacios de diálogo a través de foros en la página web  e interacciones en redes sociales (Facebook, twitter, YouTube) de  proyectos, </w:t>
      </w:r>
      <w:r w:rsidR="003450A5">
        <w:rPr>
          <w:rFonts w:ascii="Arial" w:hAnsi="Arial" w:cs="Arial"/>
          <w:sz w:val="22"/>
          <w:szCs w:val="22"/>
        </w:rPr>
        <w:t xml:space="preserve">temas o servicios de la entidad. De  manera transversal, durante la vigencia  se aplican encuestas de satisfacción </w:t>
      </w:r>
      <w:r w:rsidR="007B0D41">
        <w:rPr>
          <w:rFonts w:ascii="Arial" w:hAnsi="Arial" w:cs="Arial"/>
          <w:sz w:val="22"/>
          <w:szCs w:val="22"/>
        </w:rPr>
        <w:t>durante los eventos académicos que realiza el IDEP .En este instrumento se incorpora una pregunta sobre los temas que le gustaría a la ciudadanía que el IDEP profundiza</w:t>
      </w:r>
      <w:r w:rsidR="007B0D41" w:rsidRPr="007B0D41">
        <w:rPr>
          <w:rFonts w:ascii="Arial" w:hAnsi="Arial" w:cs="Arial"/>
          <w:sz w:val="22"/>
          <w:szCs w:val="22"/>
        </w:rPr>
        <w:t>rá en su próxima Audiencia Pública de Rendición de Cuentas</w:t>
      </w:r>
      <w:r w:rsidR="007B0D41">
        <w:rPr>
          <w:rFonts w:ascii="Arial" w:hAnsi="Arial" w:cs="Arial"/>
          <w:sz w:val="22"/>
          <w:szCs w:val="22"/>
        </w:rPr>
        <w:t xml:space="preserve">, mecanismo por el cual se realiza una consulta permanente a los grupos de valor, grupos de interés y partes interesadas. </w:t>
      </w:r>
    </w:p>
    <w:p w14:paraId="6A651AB3" w14:textId="77777777" w:rsidR="006E6F9A" w:rsidRPr="00771B7E" w:rsidRDefault="006E6F9A" w:rsidP="006E6F9A">
      <w:pPr>
        <w:jc w:val="both"/>
        <w:rPr>
          <w:rFonts w:ascii="Arial" w:hAnsi="Arial" w:cs="Arial"/>
          <w:sz w:val="22"/>
          <w:szCs w:val="22"/>
        </w:rPr>
      </w:pPr>
    </w:p>
    <w:p w14:paraId="4D31E389" w14:textId="47159D86" w:rsidR="00457BB3" w:rsidRDefault="007B0D41">
      <w:pPr>
        <w:jc w:val="both"/>
        <w:rPr>
          <w:rFonts w:ascii="Arial" w:hAnsi="Arial" w:cs="Arial"/>
          <w:sz w:val="22"/>
          <w:szCs w:val="22"/>
        </w:rPr>
      </w:pPr>
      <w:r>
        <w:rPr>
          <w:rFonts w:ascii="Arial" w:hAnsi="Arial" w:cs="Arial"/>
          <w:sz w:val="22"/>
          <w:szCs w:val="22"/>
        </w:rPr>
        <w:t>Previo al espacio de la audiencia pública, se publica en la página web institucional del IDEP la presentación general de los temas a tratar en la Rendición de cuentas, permitiendo así el acceso a la ciudadanía para realizar comentarios y observaciones</w:t>
      </w:r>
      <w:r w:rsidR="00631242">
        <w:rPr>
          <w:rFonts w:ascii="Arial" w:hAnsi="Arial" w:cs="Arial"/>
          <w:sz w:val="22"/>
          <w:szCs w:val="22"/>
        </w:rPr>
        <w:t>,</w:t>
      </w:r>
      <w:r>
        <w:rPr>
          <w:rFonts w:ascii="Arial" w:hAnsi="Arial" w:cs="Arial"/>
          <w:sz w:val="22"/>
          <w:szCs w:val="22"/>
        </w:rPr>
        <w:t xml:space="preserve"> a los temas de interés  de los grupos de valor, </w:t>
      </w:r>
      <w:r w:rsidR="00631242">
        <w:rPr>
          <w:rFonts w:ascii="Arial" w:hAnsi="Arial" w:cs="Arial"/>
          <w:sz w:val="22"/>
          <w:szCs w:val="22"/>
        </w:rPr>
        <w:t xml:space="preserve">grupos de </w:t>
      </w:r>
      <w:r>
        <w:rPr>
          <w:rFonts w:ascii="Arial" w:hAnsi="Arial" w:cs="Arial"/>
          <w:sz w:val="22"/>
          <w:szCs w:val="22"/>
        </w:rPr>
        <w:t>interés y partes interesadas que el IDEP puede prese</w:t>
      </w:r>
      <w:r w:rsidR="00631242">
        <w:rPr>
          <w:rFonts w:ascii="Arial" w:hAnsi="Arial" w:cs="Arial"/>
          <w:sz w:val="22"/>
          <w:szCs w:val="22"/>
        </w:rPr>
        <w:t xml:space="preserve">ntar en este espacio principal. </w:t>
      </w:r>
    </w:p>
    <w:p w14:paraId="0DF2D3BE" w14:textId="77777777" w:rsidR="00B37228" w:rsidRPr="00771B7E" w:rsidRDefault="003D55C6">
      <w:pPr>
        <w:pStyle w:val="Ttulo2"/>
        <w:ind w:left="360"/>
        <w:rPr>
          <w:rFonts w:ascii="Arial" w:hAnsi="Arial" w:cs="Arial"/>
          <w:color w:val="auto"/>
          <w:sz w:val="22"/>
          <w:szCs w:val="22"/>
        </w:rPr>
      </w:pPr>
      <w:bookmarkStart w:id="17" w:name="_Toc1986562"/>
      <w:r w:rsidRPr="00771B7E">
        <w:rPr>
          <w:rFonts w:ascii="Arial" w:hAnsi="Arial" w:cs="Arial"/>
          <w:color w:val="auto"/>
          <w:sz w:val="22"/>
          <w:szCs w:val="22"/>
        </w:rPr>
        <w:t xml:space="preserve">3.5 </w:t>
      </w:r>
      <w:r w:rsidR="00457BB3" w:rsidRPr="00771B7E">
        <w:rPr>
          <w:rFonts w:ascii="Arial" w:hAnsi="Arial" w:cs="Arial"/>
          <w:color w:val="auto"/>
          <w:sz w:val="22"/>
          <w:szCs w:val="22"/>
        </w:rPr>
        <w:t xml:space="preserve">   </w:t>
      </w:r>
      <w:r w:rsidR="00B37228" w:rsidRPr="00771B7E">
        <w:rPr>
          <w:rFonts w:ascii="Arial" w:hAnsi="Arial" w:cs="Arial"/>
          <w:color w:val="auto"/>
          <w:sz w:val="22"/>
          <w:szCs w:val="22"/>
        </w:rPr>
        <w:t>Audiencia pública</w:t>
      </w:r>
      <w:bookmarkEnd w:id="17"/>
    </w:p>
    <w:p w14:paraId="37B1D2C0" w14:textId="77777777" w:rsidR="00B37228" w:rsidRPr="00771B7E" w:rsidRDefault="00B37228">
      <w:pPr>
        <w:jc w:val="both"/>
        <w:rPr>
          <w:rFonts w:ascii="Arial" w:hAnsi="Arial" w:cs="Arial"/>
          <w:sz w:val="22"/>
          <w:szCs w:val="22"/>
        </w:rPr>
      </w:pPr>
    </w:p>
    <w:p w14:paraId="3BEEE877" w14:textId="4DA6AB02" w:rsidR="003D55C6" w:rsidRPr="00771B7E" w:rsidRDefault="003D55C6">
      <w:pPr>
        <w:jc w:val="both"/>
        <w:rPr>
          <w:rFonts w:ascii="Arial" w:hAnsi="Arial" w:cs="Arial"/>
          <w:sz w:val="22"/>
          <w:szCs w:val="22"/>
        </w:rPr>
      </w:pPr>
      <w:r w:rsidRPr="00771B7E">
        <w:rPr>
          <w:rFonts w:ascii="Arial" w:hAnsi="Arial" w:cs="Arial"/>
          <w:sz w:val="22"/>
          <w:szCs w:val="22"/>
        </w:rPr>
        <w:t>La Audiencia pública de rendición de cuentas para la vigencia 2018 se realizó el 14 de diciembre, por lo anterior, esta metodología propuesta es p</w:t>
      </w:r>
      <w:r w:rsidR="00B37228" w:rsidRPr="00771B7E">
        <w:rPr>
          <w:rFonts w:ascii="Arial" w:hAnsi="Arial" w:cs="Arial"/>
          <w:sz w:val="22"/>
          <w:szCs w:val="22"/>
        </w:rPr>
        <w:t xml:space="preserve">ara la Audiencia </w:t>
      </w:r>
      <w:r w:rsidRPr="00771B7E">
        <w:rPr>
          <w:rFonts w:ascii="Arial" w:hAnsi="Arial" w:cs="Arial"/>
          <w:sz w:val="22"/>
          <w:szCs w:val="22"/>
        </w:rPr>
        <w:t>p</w:t>
      </w:r>
      <w:r w:rsidR="00B37228" w:rsidRPr="00771B7E">
        <w:rPr>
          <w:rFonts w:ascii="Arial" w:hAnsi="Arial" w:cs="Arial"/>
          <w:sz w:val="22"/>
          <w:szCs w:val="22"/>
        </w:rPr>
        <w:t xml:space="preserve">ública de rendición de cuentas </w:t>
      </w:r>
      <w:r w:rsidRPr="00771B7E">
        <w:rPr>
          <w:rFonts w:ascii="Arial" w:hAnsi="Arial" w:cs="Arial"/>
          <w:sz w:val="22"/>
          <w:szCs w:val="22"/>
        </w:rPr>
        <w:t xml:space="preserve"> de la vigencia 2019, en la cual se realizará una reunión en el segundo semestre del año, en la que se expondrá la ejecución realizada en la vigencia mediante paneles con participantes de cada uno de los estudios desarrollados en la vigencia para cada uno de los </w:t>
      </w:r>
      <w:r w:rsidRPr="00771B7E">
        <w:rPr>
          <w:rFonts w:ascii="Arial" w:hAnsi="Arial" w:cs="Arial"/>
          <w:sz w:val="22"/>
          <w:szCs w:val="22"/>
        </w:rPr>
        <w:lastRenderedPageBreak/>
        <w:t>componentes que desarrolla el proyecto misional 1079 – Investigación e innovación para el fortalecimiento de las comunidades de saber y práctica pedagógica. Igualmente, se desarrollarán de manera general la información de gestión de la vigencia del Instituto.</w:t>
      </w:r>
    </w:p>
    <w:p w14:paraId="5758F977" w14:textId="77777777" w:rsidR="003D55C6" w:rsidRPr="00771B7E" w:rsidRDefault="003D55C6">
      <w:pPr>
        <w:jc w:val="both"/>
        <w:rPr>
          <w:rFonts w:ascii="Arial" w:hAnsi="Arial" w:cs="Arial"/>
          <w:sz w:val="22"/>
          <w:szCs w:val="22"/>
        </w:rPr>
      </w:pPr>
    </w:p>
    <w:p w14:paraId="0B673B13" w14:textId="0ED0D218" w:rsidR="003D55C6" w:rsidRPr="00771B7E" w:rsidRDefault="003D55C6">
      <w:pPr>
        <w:jc w:val="both"/>
        <w:rPr>
          <w:rFonts w:ascii="Arial" w:hAnsi="Arial" w:cs="Arial"/>
          <w:sz w:val="22"/>
          <w:szCs w:val="22"/>
        </w:rPr>
      </w:pPr>
      <w:r w:rsidRPr="00771B7E">
        <w:rPr>
          <w:rFonts w:ascii="Arial" w:hAnsi="Arial" w:cs="Arial"/>
          <w:sz w:val="22"/>
          <w:szCs w:val="22"/>
        </w:rPr>
        <w:t xml:space="preserve">Previamente a la audiencia se realizará un foro </w:t>
      </w:r>
      <w:r w:rsidR="00E25156" w:rsidRPr="00771B7E">
        <w:rPr>
          <w:rFonts w:ascii="Arial" w:hAnsi="Arial" w:cs="Arial"/>
          <w:sz w:val="22"/>
          <w:szCs w:val="22"/>
        </w:rPr>
        <w:t xml:space="preserve">virtual </w:t>
      </w:r>
      <w:r w:rsidRPr="00771B7E">
        <w:rPr>
          <w:rFonts w:ascii="Arial" w:hAnsi="Arial" w:cs="Arial"/>
          <w:sz w:val="22"/>
          <w:szCs w:val="22"/>
        </w:rPr>
        <w:t xml:space="preserve">mediante el cual se invitará a la ciudadanía y  a nuestros </w:t>
      </w:r>
      <w:r w:rsidR="00E25156" w:rsidRPr="00771B7E">
        <w:rPr>
          <w:rFonts w:ascii="Arial" w:hAnsi="Arial" w:cs="Arial"/>
          <w:sz w:val="22"/>
          <w:szCs w:val="22"/>
        </w:rPr>
        <w:t>grupos de valor</w:t>
      </w:r>
      <w:r w:rsidRPr="00771B7E">
        <w:rPr>
          <w:rFonts w:ascii="Arial" w:hAnsi="Arial" w:cs="Arial"/>
          <w:sz w:val="22"/>
          <w:szCs w:val="22"/>
        </w:rPr>
        <w:t xml:space="preserve"> y partes interesadas a participar con preguntas a realizar en vivo en la audiencia pública de rendición de cuentas. La audiencia se transmitirá vía </w:t>
      </w:r>
      <w:proofErr w:type="spellStart"/>
      <w:r w:rsidRPr="00771B7E">
        <w:rPr>
          <w:rFonts w:ascii="Arial" w:hAnsi="Arial" w:cs="Arial"/>
          <w:sz w:val="22"/>
          <w:szCs w:val="22"/>
        </w:rPr>
        <w:t>streamin</w:t>
      </w:r>
      <w:r w:rsidR="00486888">
        <w:rPr>
          <w:rFonts w:ascii="Arial" w:hAnsi="Arial" w:cs="Arial"/>
          <w:sz w:val="22"/>
          <w:szCs w:val="22"/>
        </w:rPr>
        <w:t>g</w:t>
      </w:r>
      <w:proofErr w:type="spellEnd"/>
      <w:r w:rsidR="000E1781" w:rsidRPr="00771B7E">
        <w:rPr>
          <w:rFonts w:ascii="Arial" w:hAnsi="Arial" w:cs="Arial"/>
          <w:sz w:val="22"/>
          <w:szCs w:val="22"/>
        </w:rPr>
        <w:t xml:space="preserve">, </w:t>
      </w:r>
      <w:r w:rsidRPr="00771B7E">
        <w:rPr>
          <w:rFonts w:ascii="Arial" w:hAnsi="Arial" w:cs="Arial"/>
          <w:sz w:val="22"/>
          <w:szCs w:val="22"/>
        </w:rPr>
        <w:t>en las redes sociales</w:t>
      </w:r>
      <w:r w:rsidR="00E25156" w:rsidRPr="00771B7E">
        <w:rPr>
          <w:rFonts w:ascii="Arial" w:hAnsi="Arial" w:cs="Arial"/>
          <w:sz w:val="22"/>
          <w:szCs w:val="22"/>
        </w:rPr>
        <w:t xml:space="preserve"> institucionales del IDEP</w:t>
      </w:r>
      <w:r w:rsidRPr="00771B7E">
        <w:rPr>
          <w:rFonts w:ascii="Arial" w:hAnsi="Arial" w:cs="Arial"/>
          <w:sz w:val="22"/>
          <w:szCs w:val="22"/>
        </w:rPr>
        <w:t xml:space="preserve"> disponibles en el momento en la cual esperamos contar con preguntas sobre l</w:t>
      </w:r>
      <w:r w:rsidR="00E25156" w:rsidRPr="00771B7E">
        <w:rPr>
          <w:rFonts w:ascii="Arial" w:hAnsi="Arial" w:cs="Arial"/>
          <w:sz w:val="22"/>
          <w:szCs w:val="22"/>
        </w:rPr>
        <w:t>a gestión realizada por el IDEP, generando un espacio participativo virtual.</w:t>
      </w:r>
    </w:p>
    <w:p w14:paraId="12521083" w14:textId="77777777" w:rsidR="003D55C6" w:rsidRPr="00771B7E" w:rsidRDefault="003D55C6">
      <w:pPr>
        <w:jc w:val="both"/>
        <w:rPr>
          <w:rFonts w:ascii="Arial" w:hAnsi="Arial" w:cs="Arial"/>
          <w:sz w:val="22"/>
          <w:szCs w:val="22"/>
        </w:rPr>
      </w:pPr>
    </w:p>
    <w:p w14:paraId="71502570" w14:textId="7A9D495F" w:rsidR="003D55C6" w:rsidRPr="00771B7E" w:rsidRDefault="003D55C6">
      <w:pPr>
        <w:jc w:val="both"/>
        <w:rPr>
          <w:rFonts w:ascii="Arial" w:hAnsi="Arial" w:cs="Arial"/>
          <w:sz w:val="22"/>
          <w:szCs w:val="22"/>
        </w:rPr>
      </w:pPr>
      <w:r w:rsidRPr="00771B7E">
        <w:rPr>
          <w:rFonts w:ascii="Arial" w:hAnsi="Arial" w:cs="Arial"/>
          <w:sz w:val="22"/>
          <w:szCs w:val="22"/>
        </w:rPr>
        <w:t xml:space="preserve">Durante el evento de la audiencia, se dispondrán formatos para que los asistentes registren preguntas sobre la gestión del IDEP. Igualmente se presentará la información que fue solicitada por los ciudadanos a través de los espacios de diálogo habilitados en la página web de la entidad y mediante la encuesta de evaluación de eventos de la vigencia anterior.  </w:t>
      </w:r>
    </w:p>
    <w:p w14:paraId="2AB92E34" w14:textId="77777777" w:rsidR="003D55C6" w:rsidRPr="00771B7E" w:rsidRDefault="003D55C6">
      <w:pPr>
        <w:jc w:val="both"/>
        <w:rPr>
          <w:rFonts w:ascii="Arial" w:hAnsi="Arial" w:cs="Arial"/>
          <w:sz w:val="22"/>
          <w:szCs w:val="22"/>
        </w:rPr>
      </w:pPr>
    </w:p>
    <w:p w14:paraId="1D2E45C1" w14:textId="77777777" w:rsidR="003D55C6" w:rsidRPr="00771B7E" w:rsidRDefault="003D55C6">
      <w:pPr>
        <w:jc w:val="both"/>
        <w:rPr>
          <w:rFonts w:ascii="Arial" w:hAnsi="Arial" w:cs="Arial"/>
          <w:sz w:val="22"/>
          <w:szCs w:val="22"/>
        </w:rPr>
      </w:pPr>
      <w:r w:rsidRPr="00771B7E">
        <w:rPr>
          <w:rFonts w:ascii="Arial" w:hAnsi="Arial" w:cs="Arial"/>
          <w:sz w:val="22"/>
          <w:szCs w:val="22"/>
        </w:rPr>
        <w:t>Previa a la finalización de la jornada se realizará una encuesta de evaluación del evento a los asistentes con miras a establecer planes de mejora para la realización de futuros procesos.</w:t>
      </w:r>
    </w:p>
    <w:p w14:paraId="1336ADD2" w14:textId="77777777" w:rsidR="003D55C6" w:rsidRPr="00771B7E" w:rsidRDefault="003D55C6">
      <w:pPr>
        <w:jc w:val="both"/>
        <w:rPr>
          <w:rFonts w:ascii="Arial" w:hAnsi="Arial" w:cs="Arial"/>
          <w:sz w:val="22"/>
          <w:szCs w:val="22"/>
        </w:rPr>
      </w:pPr>
    </w:p>
    <w:p w14:paraId="33B70750" w14:textId="77777777" w:rsidR="00B37228" w:rsidRPr="00771B7E" w:rsidRDefault="00457BB3" w:rsidP="00F67007">
      <w:pPr>
        <w:pStyle w:val="Ttulo2"/>
        <w:numPr>
          <w:ilvl w:val="1"/>
          <w:numId w:val="7"/>
        </w:numPr>
        <w:rPr>
          <w:rFonts w:ascii="Arial" w:hAnsi="Arial" w:cs="Arial"/>
          <w:color w:val="auto"/>
          <w:sz w:val="22"/>
          <w:szCs w:val="22"/>
        </w:rPr>
      </w:pPr>
      <w:r w:rsidRPr="00771B7E">
        <w:rPr>
          <w:rFonts w:ascii="Arial" w:hAnsi="Arial" w:cs="Arial"/>
          <w:color w:val="auto"/>
          <w:sz w:val="22"/>
          <w:szCs w:val="22"/>
        </w:rPr>
        <w:t xml:space="preserve">   </w:t>
      </w:r>
      <w:bookmarkStart w:id="18" w:name="_Toc1986563"/>
      <w:r w:rsidR="00B37228" w:rsidRPr="00771B7E">
        <w:rPr>
          <w:rFonts w:ascii="Arial" w:hAnsi="Arial" w:cs="Arial"/>
          <w:color w:val="auto"/>
          <w:sz w:val="22"/>
          <w:szCs w:val="22"/>
        </w:rPr>
        <w:t>Seguimiento.</w:t>
      </w:r>
      <w:bookmarkEnd w:id="18"/>
      <w:r w:rsidR="00B37228" w:rsidRPr="00771B7E">
        <w:rPr>
          <w:rFonts w:ascii="Arial" w:hAnsi="Arial" w:cs="Arial"/>
          <w:color w:val="auto"/>
          <w:sz w:val="22"/>
          <w:szCs w:val="22"/>
        </w:rPr>
        <w:t xml:space="preserve"> </w:t>
      </w:r>
    </w:p>
    <w:p w14:paraId="0FA0607B" w14:textId="77777777" w:rsidR="00B37228" w:rsidRPr="00771B7E" w:rsidRDefault="00B37228">
      <w:pPr>
        <w:jc w:val="both"/>
        <w:rPr>
          <w:rFonts w:ascii="Arial" w:hAnsi="Arial" w:cs="Arial"/>
          <w:sz w:val="22"/>
          <w:szCs w:val="22"/>
        </w:rPr>
      </w:pPr>
    </w:p>
    <w:p w14:paraId="16A20F0D" w14:textId="19F43EEF" w:rsidR="00C35253" w:rsidRPr="00771B7E" w:rsidRDefault="00C35253">
      <w:pPr>
        <w:jc w:val="both"/>
        <w:rPr>
          <w:rFonts w:ascii="Arial" w:hAnsi="Arial" w:cs="Arial"/>
          <w:sz w:val="22"/>
          <w:szCs w:val="22"/>
        </w:rPr>
      </w:pPr>
      <w:r w:rsidRPr="00771B7E">
        <w:rPr>
          <w:rFonts w:ascii="Arial" w:hAnsi="Arial" w:cs="Arial"/>
          <w:sz w:val="22"/>
          <w:szCs w:val="22"/>
        </w:rPr>
        <w:t xml:space="preserve">En esta etapa se debe generar el correspondiente informe con los resultados de la evaluación y seguimiento de la estrategia de rendición de cuentas, definida por la entidad. De acuerdo a los lineamientos fijados en el manual único de rendición de cuentas del Departamento Administrativo de la Función Pública - DAFP, es necesario  </w:t>
      </w:r>
    </w:p>
    <w:p w14:paraId="62281A52" w14:textId="77777777" w:rsidR="00C35253" w:rsidRPr="00771B7E" w:rsidRDefault="00C35253">
      <w:pPr>
        <w:jc w:val="both"/>
        <w:rPr>
          <w:rFonts w:ascii="Arial" w:hAnsi="Arial" w:cs="Arial"/>
          <w:sz w:val="22"/>
          <w:szCs w:val="22"/>
        </w:rPr>
      </w:pPr>
    </w:p>
    <w:p w14:paraId="3786A943" w14:textId="4A1F1FA7" w:rsidR="00C35253" w:rsidRPr="00771B7E" w:rsidRDefault="00C35253" w:rsidP="00F67007">
      <w:pPr>
        <w:pStyle w:val="Prrafodelista"/>
        <w:numPr>
          <w:ilvl w:val="0"/>
          <w:numId w:val="8"/>
        </w:numPr>
        <w:spacing w:after="0" w:line="240" w:lineRule="auto"/>
        <w:ind w:left="284" w:hanging="426"/>
        <w:jc w:val="both"/>
        <w:rPr>
          <w:rFonts w:ascii="Arial" w:hAnsi="Arial" w:cs="Arial"/>
        </w:rPr>
      </w:pPr>
      <w:r w:rsidRPr="00771B7E">
        <w:rPr>
          <w:rFonts w:ascii="Arial" w:hAnsi="Arial" w:cs="Arial"/>
        </w:rPr>
        <w:t>Recopilar, sistematizar y evaluar los resultados del proceso de Rendición de Cuentas con base a los formatos:</w:t>
      </w:r>
    </w:p>
    <w:p w14:paraId="44183147" w14:textId="77777777" w:rsidR="00C35253" w:rsidRPr="00771B7E" w:rsidRDefault="00C35253">
      <w:pPr>
        <w:ind w:left="284" w:hanging="426"/>
        <w:jc w:val="both"/>
        <w:rPr>
          <w:rFonts w:ascii="Arial" w:hAnsi="Arial" w:cs="Arial"/>
          <w:sz w:val="22"/>
          <w:szCs w:val="22"/>
        </w:rPr>
      </w:pPr>
    </w:p>
    <w:p w14:paraId="6F2744A3" w14:textId="03CCAFB5" w:rsidR="00C35253" w:rsidRPr="00771B7E" w:rsidRDefault="00C35253" w:rsidP="00F67007">
      <w:pPr>
        <w:pStyle w:val="Prrafodelista"/>
        <w:numPr>
          <w:ilvl w:val="0"/>
          <w:numId w:val="9"/>
        </w:numPr>
        <w:spacing w:line="240" w:lineRule="auto"/>
        <w:ind w:left="993" w:hanging="284"/>
        <w:jc w:val="both"/>
        <w:rPr>
          <w:rFonts w:ascii="Arial" w:hAnsi="Arial" w:cs="Arial"/>
        </w:rPr>
      </w:pPr>
      <w:r w:rsidRPr="00771B7E">
        <w:rPr>
          <w:rFonts w:ascii="Arial" w:hAnsi="Arial" w:cs="Arial"/>
        </w:rPr>
        <w:t>Formato de</w:t>
      </w:r>
      <w:r w:rsidR="006E6F9A" w:rsidRPr="00771B7E">
        <w:rPr>
          <w:rFonts w:ascii="Arial" w:hAnsi="Arial" w:cs="Arial"/>
        </w:rPr>
        <w:t xml:space="preserve"> registro de</w:t>
      </w:r>
      <w:r w:rsidRPr="00771B7E">
        <w:rPr>
          <w:rFonts w:ascii="Arial" w:hAnsi="Arial" w:cs="Arial"/>
        </w:rPr>
        <w:t xml:space="preserve"> asistencia </w:t>
      </w:r>
    </w:p>
    <w:p w14:paraId="508104DE" w14:textId="77777777" w:rsidR="00C35253" w:rsidRPr="00771B7E" w:rsidRDefault="00C35253" w:rsidP="00F67007">
      <w:pPr>
        <w:pStyle w:val="Prrafodelista"/>
        <w:numPr>
          <w:ilvl w:val="0"/>
          <w:numId w:val="9"/>
        </w:numPr>
        <w:spacing w:line="240" w:lineRule="auto"/>
        <w:ind w:left="993" w:hanging="284"/>
        <w:jc w:val="both"/>
        <w:rPr>
          <w:rFonts w:ascii="Arial" w:hAnsi="Arial" w:cs="Arial"/>
        </w:rPr>
      </w:pPr>
      <w:r w:rsidRPr="00771B7E">
        <w:rPr>
          <w:rFonts w:ascii="Arial" w:hAnsi="Arial" w:cs="Arial"/>
        </w:rPr>
        <w:t xml:space="preserve">Formato para la formulación de preguntas, observaciones, recomendaciones </w:t>
      </w:r>
    </w:p>
    <w:p w14:paraId="7038774A" w14:textId="77777777" w:rsidR="006E6F9A" w:rsidRPr="00771B7E" w:rsidRDefault="00C35253" w:rsidP="00F67007">
      <w:pPr>
        <w:pStyle w:val="Prrafodelista"/>
        <w:numPr>
          <w:ilvl w:val="0"/>
          <w:numId w:val="9"/>
        </w:numPr>
        <w:spacing w:line="240" w:lineRule="auto"/>
        <w:ind w:left="993" w:hanging="284"/>
        <w:jc w:val="both"/>
        <w:rPr>
          <w:rFonts w:ascii="Arial" w:hAnsi="Arial" w:cs="Arial"/>
        </w:rPr>
      </w:pPr>
      <w:r w:rsidRPr="00771B7E">
        <w:rPr>
          <w:rFonts w:ascii="Arial" w:hAnsi="Arial" w:cs="Arial"/>
        </w:rPr>
        <w:t>Formato de evaluación de la audiencia de rendición de cuentas.</w:t>
      </w:r>
    </w:p>
    <w:p w14:paraId="00A4A8F8" w14:textId="2EB174F6" w:rsidR="00C35253" w:rsidRDefault="006E6F9A" w:rsidP="00F67007">
      <w:pPr>
        <w:pStyle w:val="Prrafodelista"/>
        <w:numPr>
          <w:ilvl w:val="0"/>
          <w:numId w:val="9"/>
        </w:numPr>
        <w:spacing w:line="240" w:lineRule="auto"/>
        <w:ind w:left="993" w:hanging="284"/>
        <w:jc w:val="both"/>
        <w:rPr>
          <w:rFonts w:ascii="Arial" w:hAnsi="Arial" w:cs="Arial"/>
        </w:rPr>
      </w:pPr>
      <w:r w:rsidRPr="00771B7E">
        <w:rPr>
          <w:rFonts w:ascii="Arial" w:hAnsi="Arial" w:cs="Arial"/>
        </w:rPr>
        <w:t>Formato de sistematización de los espacios de diálogos.</w:t>
      </w:r>
      <w:r w:rsidR="00C35253" w:rsidRPr="00771B7E">
        <w:rPr>
          <w:rFonts w:ascii="Arial" w:hAnsi="Arial" w:cs="Arial"/>
        </w:rPr>
        <w:t xml:space="preserve"> </w:t>
      </w:r>
    </w:p>
    <w:p w14:paraId="44A1E4A5" w14:textId="77777777" w:rsidR="00417A87" w:rsidRPr="00771B7E" w:rsidRDefault="00417A87" w:rsidP="00F67007">
      <w:pPr>
        <w:pStyle w:val="Prrafodelista"/>
        <w:numPr>
          <w:ilvl w:val="0"/>
          <w:numId w:val="9"/>
        </w:numPr>
        <w:spacing w:line="240" w:lineRule="auto"/>
        <w:ind w:left="993" w:hanging="284"/>
        <w:jc w:val="both"/>
        <w:rPr>
          <w:rFonts w:ascii="Arial" w:hAnsi="Arial" w:cs="Arial"/>
        </w:rPr>
      </w:pPr>
    </w:p>
    <w:p w14:paraId="47F2F049" w14:textId="77777777" w:rsidR="00C35253" w:rsidRPr="00771B7E" w:rsidRDefault="00C35253">
      <w:pPr>
        <w:pStyle w:val="Prrafodelista"/>
        <w:spacing w:line="240" w:lineRule="auto"/>
        <w:ind w:left="284"/>
        <w:jc w:val="both"/>
        <w:rPr>
          <w:rFonts w:ascii="Arial" w:hAnsi="Arial" w:cs="Arial"/>
        </w:rPr>
      </w:pPr>
    </w:p>
    <w:p w14:paraId="4DF8F138" w14:textId="51F4A229" w:rsidR="00C35253" w:rsidRPr="00771B7E" w:rsidRDefault="00C35253" w:rsidP="00F67007">
      <w:pPr>
        <w:pStyle w:val="Prrafodelista"/>
        <w:numPr>
          <w:ilvl w:val="0"/>
          <w:numId w:val="8"/>
        </w:numPr>
        <w:spacing w:after="0" w:line="240" w:lineRule="auto"/>
        <w:ind w:left="284" w:hanging="426"/>
        <w:jc w:val="both"/>
        <w:rPr>
          <w:rFonts w:ascii="Arial" w:hAnsi="Arial" w:cs="Arial"/>
        </w:rPr>
      </w:pPr>
      <w:r w:rsidRPr="00771B7E">
        <w:rPr>
          <w:rFonts w:ascii="Arial" w:hAnsi="Arial" w:cs="Arial"/>
        </w:rPr>
        <w:t xml:space="preserve">Elaborar la relatoría del proceso de audiencia pública de la Rendición de Cuentas </w:t>
      </w:r>
      <w:r w:rsidR="0092038E">
        <w:rPr>
          <w:rFonts w:ascii="Arial" w:hAnsi="Arial" w:cs="Arial"/>
        </w:rPr>
        <w:t xml:space="preserve">incorporando el enfoque de  derechos humanos y paz. </w:t>
      </w:r>
    </w:p>
    <w:p w14:paraId="624AC855" w14:textId="77777777" w:rsidR="00C35253" w:rsidRPr="00771B7E" w:rsidRDefault="00C35253">
      <w:pPr>
        <w:ind w:left="284" w:hanging="426"/>
        <w:jc w:val="both"/>
        <w:rPr>
          <w:rFonts w:ascii="Arial" w:hAnsi="Arial" w:cs="Arial"/>
          <w:sz w:val="22"/>
          <w:szCs w:val="22"/>
        </w:rPr>
      </w:pPr>
    </w:p>
    <w:p w14:paraId="69F460A9" w14:textId="30FDD703" w:rsidR="00C35253" w:rsidRPr="00771B7E" w:rsidRDefault="00C35253" w:rsidP="00F67007">
      <w:pPr>
        <w:pStyle w:val="Prrafodelista"/>
        <w:numPr>
          <w:ilvl w:val="0"/>
          <w:numId w:val="8"/>
        </w:numPr>
        <w:spacing w:after="0" w:line="240" w:lineRule="auto"/>
        <w:ind w:left="284" w:hanging="426"/>
        <w:jc w:val="both"/>
        <w:rPr>
          <w:rFonts w:ascii="Arial" w:hAnsi="Arial" w:cs="Arial"/>
        </w:rPr>
      </w:pPr>
      <w:r w:rsidRPr="00771B7E">
        <w:rPr>
          <w:rFonts w:ascii="Arial" w:hAnsi="Arial" w:cs="Arial"/>
        </w:rPr>
        <w:t>Difundir los resultados con los asistentes al evento y la ciudadanía en general en página web</w:t>
      </w:r>
      <w:r w:rsidR="0092038E">
        <w:rPr>
          <w:rFonts w:ascii="Arial" w:hAnsi="Arial" w:cs="Arial"/>
        </w:rPr>
        <w:t>.</w:t>
      </w:r>
    </w:p>
    <w:p w14:paraId="5F2D0FEE" w14:textId="77777777" w:rsidR="00C35253" w:rsidRPr="00771B7E" w:rsidRDefault="00C35253">
      <w:pPr>
        <w:ind w:left="284" w:hanging="426"/>
        <w:jc w:val="both"/>
        <w:rPr>
          <w:rFonts w:ascii="Arial" w:hAnsi="Arial" w:cs="Arial"/>
          <w:sz w:val="22"/>
          <w:szCs w:val="22"/>
        </w:rPr>
      </w:pPr>
    </w:p>
    <w:p w14:paraId="5EC903D0" w14:textId="67A55F2B" w:rsidR="00C35253" w:rsidRPr="00771B7E" w:rsidRDefault="00C35253" w:rsidP="00F67007">
      <w:pPr>
        <w:pStyle w:val="Prrafodelista"/>
        <w:numPr>
          <w:ilvl w:val="0"/>
          <w:numId w:val="8"/>
        </w:numPr>
        <w:spacing w:after="0" w:line="240" w:lineRule="auto"/>
        <w:ind w:left="284" w:hanging="426"/>
        <w:jc w:val="both"/>
        <w:rPr>
          <w:rFonts w:ascii="Arial" w:hAnsi="Arial" w:cs="Arial"/>
        </w:rPr>
      </w:pPr>
      <w:r w:rsidRPr="00771B7E">
        <w:rPr>
          <w:rFonts w:ascii="Arial" w:hAnsi="Arial" w:cs="Arial"/>
        </w:rPr>
        <w:lastRenderedPageBreak/>
        <w:t xml:space="preserve">Responder por escrito las preguntas de los ciudadanos elaboradas en el marco del proceso </w:t>
      </w:r>
      <w:r w:rsidR="000E1781" w:rsidRPr="00771B7E">
        <w:rPr>
          <w:rFonts w:ascii="Arial" w:hAnsi="Arial" w:cs="Arial"/>
        </w:rPr>
        <w:t xml:space="preserve">Rendición de Cuentas </w:t>
      </w:r>
      <w:r w:rsidRPr="00771B7E">
        <w:rPr>
          <w:rFonts w:ascii="Arial" w:hAnsi="Arial" w:cs="Arial"/>
        </w:rPr>
        <w:t xml:space="preserve">en un plazo no mayor a los 15 días esto en el caso de no ser respondidas dentro del espacio en el cual se desarrolle la audiencia pública. </w:t>
      </w:r>
    </w:p>
    <w:p w14:paraId="60A4210C" w14:textId="77777777" w:rsidR="00C35253" w:rsidRPr="00771B7E" w:rsidRDefault="00C35253">
      <w:pPr>
        <w:ind w:left="284" w:hanging="426"/>
        <w:jc w:val="both"/>
        <w:rPr>
          <w:rFonts w:ascii="Arial" w:hAnsi="Arial" w:cs="Arial"/>
          <w:sz w:val="22"/>
          <w:szCs w:val="22"/>
        </w:rPr>
      </w:pPr>
    </w:p>
    <w:p w14:paraId="513260DD" w14:textId="4DE70B9D" w:rsidR="00417A87" w:rsidRPr="0092038E" w:rsidRDefault="00C35253" w:rsidP="00836E57">
      <w:pPr>
        <w:pStyle w:val="Prrafodelista"/>
        <w:numPr>
          <w:ilvl w:val="0"/>
          <w:numId w:val="8"/>
        </w:numPr>
        <w:spacing w:after="0" w:line="240" w:lineRule="auto"/>
        <w:ind w:left="284" w:hanging="426"/>
        <w:jc w:val="both"/>
        <w:rPr>
          <w:rFonts w:ascii="Arial" w:hAnsi="Arial" w:cs="Arial"/>
        </w:rPr>
      </w:pPr>
      <w:r w:rsidRPr="0092038E">
        <w:rPr>
          <w:rFonts w:ascii="Arial" w:hAnsi="Arial" w:cs="Arial"/>
        </w:rPr>
        <w:t xml:space="preserve">Implementar acciones de mejora producto del informe o relatoría de la audiencia de </w:t>
      </w:r>
      <w:r w:rsidR="00E25156" w:rsidRPr="0092038E">
        <w:rPr>
          <w:rFonts w:ascii="Arial" w:hAnsi="Arial" w:cs="Arial"/>
        </w:rPr>
        <w:t xml:space="preserve">Rendición de Cuentas </w:t>
      </w:r>
      <w:r w:rsidRPr="0092038E">
        <w:rPr>
          <w:rFonts w:ascii="Arial" w:hAnsi="Arial" w:cs="Arial"/>
        </w:rPr>
        <w:t>y realizar seguimien</w:t>
      </w:r>
      <w:r w:rsidR="00E25156" w:rsidRPr="0092038E">
        <w:rPr>
          <w:rFonts w:ascii="Arial" w:hAnsi="Arial" w:cs="Arial"/>
        </w:rPr>
        <w:t xml:space="preserve">to a los compromisos adquiridos. </w:t>
      </w:r>
    </w:p>
    <w:p w14:paraId="1A4481C0" w14:textId="77777777" w:rsidR="00417A87" w:rsidRPr="00771B7E" w:rsidRDefault="00417A87" w:rsidP="0092038E">
      <w:pPr>
        <w:pStyle w:val="Prrafodelista"/>
        <w:spacing w:after="0" w:line="240" w:lineRule="auto"/>
        <w:ind w:left="284"/>
        <w:jc w:val="both"/>
        <w:rPr>
          <w:rFonts w:ascii="Arial" w:hAnsi="Arial" w:cs="Arial"/>
        </w:rPr>
      </w:pPr>
    </w:p>
    <w:p w14:paraId="488D89F7" w14:textId="77777777" w:rsidR="00C35253" w:rsidRPr="00771B7E" w:rsidRDefault="00C35253">
      <w:pPr>
        <w:ind w:left="284" w:hanging="426"/>
        <w:jc w:val="both"/>
        <w:rPr>
          <w:rFonts w:ascii="Arial" w:hAnsi="Arial" w:cs="Arial"/>
          <w:sz w:val="22"/>
          <w:szCs w:val="22"/>
        </w:rPr>
      </w:pPr>
    </w:p>
    <w:p w14:paraId="78F2AE2E" w14:textId="77777777" w:rsidR="001677B6" w:rsidRPr="00771B7E" w:rsidRDefault="001677B6">
      <w:pPr>
        <w:pStyle w:val="Prrafodelista"/>
        <w:spacing w:after="0" w:line="240" w:lineRule="auto"/>
        <w:jc w:val="both"/>
        <w:rPr>
          <w:rFonts w:ascii="Arial" w:hAnsi="Arial" w:cs="Arial"/>
        </w:rPr>
      </w:pPr>
    </w:p>
    <w:p w14:paraId="111118AB" w14:textId="77777777" w:rsidR="00B37228" w:rsidRPr="00771B7E" w:rsidRDefault="00B37228" w:rsidP="00F67007">
      <w:pPr>
        <w:pStyle w:val="Ttulo1"/>
        <w:numPr>
          <w:ilvl w:val="0"/>
          <w:numId w:val="7"/>
        </w:numPr>
        <w:spacing w:line="240" w:lineRule="auto"/>
        <w:jc w:val="left"/>
        <w:rPr>
          <w:color w:val="auto"/>
          <w:sz w:val="22"/>
          <w:szCs w:val="22"/>
        </w:rPr>
      </w:pPr>
      <w:bookmarkStart w:id="19" w:name="_Toc1986564"/>
      <w:r w:rsidRPr="00771B7E">
        <w:rPr>
          <w:color w:val="auto"/>
          <w:sz w:val="22"/>
          <w:szCs w:val="22"/>
        </w:rPr>
        <w:t>NORMATIVIDAD</w:t>
      </w:r>
      <w:bookmarkEnd w:id="19"/>
    </w:p>
    <w:p w14:paraId="57EC18A2" w14:textId="77777777" w:rsidR="00B37228" w:rsidRPr="00771B7E" w:rsidRDefault="00B3722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1495"/>
        <w:gridCol w:w="3328"/>
        <w:gridCol w:w="4381"/>
      </w:tblGrid>
      <w:tr w:rsidR="00C35253" w:rsidRPr="00771B7E" w14:paraId="79A6B7CF"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9E7C1" w14:textId="77777777" w:rsidR="00C35253" w:rsidRPr="00771B7E" w:rsidRDefault="00C35253">
            <w:pPr>
              <w:jc w:val="center"/>
              <w:rPr>
                <w:rFonts w:ascii="Arial" w:hAnsi="Arial" w:cs="Arial"/>
                <w:b/>
                <w:sz w:val="18"/>
                <w:szCs w:val="18"/>
              </w:rPr>
            </w:pPr>
            <w:r w:rsidRPr="00771B7E">
              <w:rPr>
                <w:rFonts w:ascii="Arial" w:hAnsi="Arial" w:cs="Arial"/>
                <w:b/>
                <w:sz w:val="18"/>
                <w:szCs w:val="18"/>
              </w:rPr>
              <w:t>Normatividad</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BC95FB" w14:textId="77777777" w:rsidR="00C35253" w:rsidRPr="00771B7E" w:rsidRDefault="00C35253">
            <w:pPr>
              <w:jc w:val="center"/>
              <w:rPr>
                <w:rFonts w:ascii="Arial" w:hAnsi="Arial" w:cs="Arial"/>
                <w:b/>
                <w:sz w:val="18"/>
                <w:szCs w:val="18"/>
              </w:rPr>
            </w:pPr>
            <w:r w:rsidRPr="00771B7E">
              <w:rPr>
                <w:rFonts w:ascii="Arial" w:hAnsi="Arial" w:cs="Arial"/>
                <w:b/>
                <w:sz w:val="18"/>
                <w:szCs w:val="18"/>
              </w:rPr>
              <w:t>Generalidad</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D280DE" w14:textId="77777777" w:rsidR="00C35253" w:rsidRPr="00771B7E" w:rsidRDefault="00C35253">
            <w:pPr>
              <w:jc w:val="center"/>
              <w:rPr>
                <w:rFonts w:ascii="Arial" w:hAnsi="Arial" w:cs="Arial"/>
                <w:b/>
                <w:sz w:val="18"/>
                <w:szCs w:val="18"/>
              </w:rPr>
            </w:pPr>
            <w:r w:rsidRPr="00771B7E">
              <w:rPr>
                <w:rFonts w:ascii="Arial" w:hAnsi="Arial" w:cs="Arial"/>
                <w:b/>
                <w:sz w:val="18"/>
                <w:szCs w:val="18"/>
              </w:rPr>
              <w:t>Aplicabilidad</w:t>
            </w:r>
          </w:p>
        </w:tc>
      </w:tr>
      <w:tr w:rsidR="00C35253" w:rsidRPr="00771B7E" w14:paraId="6E352865"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E68773" w14:textId="77777777" w:rsidR="00C35253" w:rsidRPr="00771B7E" w:rsidRDefault="00C35253" w:rsidP="009E6C59">
            <w:pPr>
              <w:rPr>
                <w:rFonts w:ascii="Arial" w:hAnsi="Arial" w:cs="Arial"/>
                <w:sz w:val="18"/>
                <w:szCs w:val="18"/>
              </w:rPr>
            </w:pPr>
            <w:r w:rsidRPr="00771B7E">
              <w:rPr>
                <w:rFonts w:ascii="Arial" w:hAnsi="Arial" w:cs="Arial"/>
                <w:sz w:val="18"/>
                <w:szCs w:val="18"/>
              </w:rPr>
              <w:t>Ley 489 de 1998</w:t>
            </w:r>
          </w:p>
          <w:p w14:paraId="25E6F503" w14:textId="77777777" w:rsidR="00C35253" w:rsidRPr="00771B7E" w:rsidRDefault="00C35253" w:rsidP="000E1781">
            <w:pPr>
              <w:jc w:val="both"/>
              <w:rPr>
                <w:rFonts w:ascii="Arial" w:hAnsi="Arial" w:cs="Arial"/>
                <w:sz w:val="18"/>
                <w:szCs w:val="18"/>
              </w:rPr>
            </w:pP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22A57"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2F128F" w14:textId="77777777" w:rsidR="00C35253" w:rsidRPr="00771B7E" w:rsidRDefault="00C35253" w:rsidP="00F67007">
            <w:pPr>
              <w:numPr>
                <w:ilvl w:val="0"/>
                <w:numId w:val="10"/>
              </w:numPr>
              <w:tabs>
                <w:tab w:val="left" w:pos="298"/>
              </w:tabs>
              <w:overflowPunct/>
              <w:autoSpaceDE/>
              <w:adjustRightInd/>
              <w:ind w:left="176" w:hanging="142"/>
              <w:jc w:val="both"/>
              <w:rPr>
                <w:rFonts w:ascii="Arial" w:hAnsi="Arial" w:cs="Arial"/>
                <w:sz w:val="18"/>
                <w:szCs w:val="18"/>
              </w:rPr>
            </w:pPr>
            <w:r w:rsidRPr="00771B7E">
              <w:rPr>
                <w:rFonts w:ascii="Arial" w:hAnsi="Arial" w:cs="Arial"/>
                <w:sz w:val="18"/>
                <w:szCs w:val="18"/>
              </w:rPr>
              <w:t>Artículo 3: Principios de la función administrativa.</w:t>
            </w:r>
          </w:p>
          <w:p w14:paraId="6FE7F8AC" w14:textId="77777777" w:rsidR="00C35253" w:rsidRPr="00771B7E" w:rsidRDefault="00C35253" w:rsidP="00F67007">
            <w:pPr>
              <w:numPr>
                <w:ilvl w:val="0"/>
                <w:numId w:val="10"/>
              </w:numPr>
              <w:tabs>
                <w:tab w:val="left" w:pos="298"/>
              </w:tabs>
              <w:overflowPunct/>
              <w:autoSpaceDE/>
              <w:adjustRightInd/>
              <w:ind w:left="176" w:hanging="142"/>
              <w:jc w:val="both"/>
              <w:rPr>
                <w:rFonts w:ascii="Arial" w:hAnsi="Arial" w:cs="Arial"/>
                <w:sz w:val="18"/>
                <w:szCs w:val="18"/>
              </w:rPr>
            </w:pPr>
            <w:r w:rsidRPr="00771B7E">
              <w:rPr>
                <w:rFonts w:ascii="Arial" w:hAnsi="Arial" w:cs="Arial"/>
                <w:sz w:val="18"/>
                <w:szCs w:val="18"/>
              </w:rPr>
              <w:t>Artículo 26: Estímulos e incentivos a la gestión pública.</w:t>
            </w:r>
          </w:p>
          <w:p w14:paraId="313BE116" w14:textId="77777777" w:rsidR="00C35253" w:rsidRPr="00771B7E" w:rsidRDefault="00C35253" w:rsidP="00F67007">
            <w:pPr>
              <w:numPr>
                <w:ilvl w:val="0"/>
                <w:numId w:val="10"/>
              </w:numPr>
              <w:tabs>
                <w:tab w:val="left" w:pos="298"/>
              </w:tabs>
              <w:overflowPunct/>
              <w:autoSpaceDE/>
              <w:adjustRightInd/>
              <w:ind w:left="176" w:hanging="142"/>
              <w:jc w:val="both"/>
              <w:rPr>
                <w:rFonts w:ascii="Arial" w:hAnsi="Arial" w:cs="Arial"/>
                <w:sz w:val="18"/>
                <w:szCs w:val="18"/>
              </w:rPr>
            </w:pPr>
            <w:r w:rsidRPr="00771B7E">
              <w:rPr>
                <w:rFonts w:ascii="Arial" w:hAnsi="Arial" w:cs="Arial"/>
                <w:sz w:val="18"/>
                <w:szCs w:val="18"/>
              </w:rPr>
              <w:t>Artículo 32: Democratización de la administración pública.</w:t>
            </w:r>
          </w:p>
          <w:p w14:paraId="6136D38B" w14:textId="77777777" w:rsidR="00C35253" w:rsidRPr="00771B7E" w:rsidRDefault="00C35253" w:rsidP="00F67007">
            <w:pPr>
              <w:numPr>
                <w:ilvl w:val="0"/>
                <w:numId w:val="10"/>
              </w:numPr>
              <w:tabs>
                <w:tab w:val="left" w:pos="298"/>
              </w:tabs>
              <w:overflowPunct/>
              <w:autoSpaceDE/>
              <w:adjustRightInd/>
              <w:ind w:left="176" w:hanging="142"/>
              <w:jc w:val="both"/>
              <w:rPr>
                <w:rFonts w:ascii="Arial" w:hAnsi="Arial" w:cs="Arial"/>
                <w:sz w:val="18"/>
                <w:szCs w:val="18"/>
              </w:rPr>
            </w:pPr>
            <w:r w:rsidRPr="00771B7E">
              <w:rPr>
                <w:rFonts w:ascii="Arial" w:hAnsi="Arial" w:cs="Arial"/>
                <w:sz w:val="18"/>
                <w:szCs w:val="18"/>
              </w:rPr>
              <w:t>Artículo 33: Audiencias públicas</w:t>
            </w:r>
          </w:p>
          <w:p w14:paraId="0F5E7170" w14:textId="77777777" w:rsidR="00C35253" w:rsidRPr="00771B7E" w:rsidRDefault="00C35253" w:rsidP="00F67007">
            <w:pPr>
              <w:numPr>
                <w:ilvl w:val="0"/>
                <w:numId w:val="10"/>
              </w:numPr>
              <w:tabs>
                <w:tab w:val="left" w:pos="298"/>
              </w:tabs>
              <w:overflowPunct/>
              <w:autoSpaceDE/>
              <w:adjustRightInd/>
              <w:ind w:left="15" w:firstLine="0"/>
              <w:jc w:val="both"/>
              <w:rPr>
                <w:rFonts w:ascii="Arial" w:hAnsi="Arial" w:cs="Arial"/>
                <w:sz w:val="18"/>
                <w:szCs w:val="18"/>
              </w:rPr>
            </w:pPr>
            <w:r w:rsidRPr="00771B7E">
              <w:rPr>
                <w:rFonts w:ascii="Arial" w:hAnsi="Arial" w:cs="Arial"/>
                <w:sz w:val="18"/>
                <w:szCs w:val="18"/>
              </w:rPr>
              <w:t>Artículo 34: Ejercicio del control social.</w:t>
            </w:r>
          </w:p>
          <w:p w14:paraId="3532856B"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Artículo 35: Ejercicio de veeduría ciudadana</w:t>
            </w:r>
          </w:p>
        </w:tc>
      </w:tr>
      <w:tr w:rsidR="00C35253" w:rsidRPr="00771B7E" w14:paraId="343B7C23"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FA7510" w14:textId="77777777" w:rsidR="00C35253" w:rsidRPr="00771B7E" w:rsidRDefault="00C35253" w:rsidP="009E6C59">
            <w:pPr>
              <w:rPr>
                <w:rFonts w:ascii="Arial" w:hAnsi="Arial" w:cs="Arial"/>
                <w:sz w:val="18"/>
                <w:szCs w:val="18"/>
              </w:rPr>
            </w:pPr>
            <w:r w:rsidRPr="00771B7E">
              <w:rPr>
                <w:rFonts w:ascii="Arial" w:hAnsi="Arial" w:cs="Arial"/>
                <w:sz w:val="18"/>
                <w:szCs w:val="18"/>
              </w:rPr>
              <w:t>Ley 850 de 2003</w:t>
            </w:r>
          </w:p>
          <w:p w14:paraId="5269D8DA" w14:textId="77777777" w:rsidR="00C35253" w:rsidRPr="00771B7E" w:rsidRDefault="00C35253" w:rsidP="000E1781">
            <w:pPr>
              <w:jc w:val="both"/>
              <w:rPr>
                <w:rFonts w:ascii="Arial" w:hAnsi="Arial" w:cs="Arial"/>
                <w:sz w:val="18"/>
                <w:szCs w:val="18"/>
              </w:rPr>
            </w:pP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10EB8"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Por medio de la cual se reglamentan las veedurías ciudadanas</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E756C" w14:textId="77777777" w:rsidR="00C35253" w:rsidRPr="00771B7E" w:rsidRDefault="00C35253" w:rsidP="001A6FB1">
            <w:pPr>
              <w:overflowPunct/>
              <w:autoSpaceDE/>
              <w:adjustRightInd/>
              <w:spacing w:after="200"/>
              <w:jc w:val="both"/>
              <w:rPr>
                <w:rFonts w:ascii="Arial" w:hAnsi="Arial" w:cs="Arial"/>
                <w:sz w:val="18"/>
                <w:szCs w:val="18"/>
              </w:rPr>
            </w:pPr>
            <w:r w:rsidRPr="00771B7E">
              <w:rPr>
                <w:rFonts w:ascii="Arial" w:hAnsi="Arial" w:cs="Arial"/>
                <w:sz w:val="18"/>
                <w:szCs w:val="18"/>
              </w:rPr>
              <w:t>Disposiciones sobre su funcionamiento y su derecho a la información. Establece que las autoridades deben apoyar a estos mecanismos de control social.</w:t>
            </w:r>
          </w:p>
        </w:tc>
      </w:tr>
      <w:tr w:rsidR="00C35253" w:rsidRPr="00771B7E" w14:paraId="7C813293"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1624A0"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CONPES 3654 de 2010</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80D22"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Política de Rendición de Cuentas de la Rama Ejecutiva a los Ciudadanos.</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C8042"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Presenta lineamientos de política para consolidar la rendición de cuentas como un proceso permanente entre la rama ejecutiva y los ciudadanos</w:t>
            </w:r>
          </w:p>
        </w:tc>
      </w:tr>
      <w:tr w:rsidR="00C35253" w:rsidRPr="00771B7E" w14:paraId="1E18ABFB"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7E2000"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Ley 1712 de 2014</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E5760"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 xml:space="preserve">Por medio de la cual se crea la Ley de Transparencia y del Derecho de Acceso a la información Pública Nacional </w:t>
            </w:r>
            <w:r w:rsidRPr="00771B7E">
              <w:rPr>
                <w:rFonts w:ascii="Arial" w:hAnsi="Arial" w:cs="Arial"/>
                <w:b/>
                <w:bCs/>
                <w:i/>
                <w:iCs/>
                <w:sz w:val="18"/>
                <w:szCs w:val="18"/>
                <w:shd w:val="clear" w:color="auto" w:fill="FFFFFF"/>
              </w:rPr>
              <w:t> </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8ABA45"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Regular el derecho de acceso a la información pública, los procedimientos para el ejercicio y garantía del derecho y las excepciones a la publicidad de información.</w:t>
            </w:r>
          </w:p>
        </w:tc>
      </w:tr>
      <w:tr w:rsidR="00C35253" w:rsidRPr="00771B7E" w14:paraId="59610FF7"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A7787"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 xml:space="preserve">Ley 1757 de 2015  </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184A7C"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Por la cual se dictan disposiciones en materia de promoción y protección del derecho a la participación democrática</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EE6C15"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Promover, proteger y garantizar modalidades del derecho a participar en la vida política, administrativa, económica, social y cultural, y así mismo a controlar el poder político.</w:t>
            </w:r>
          </w:p>
          <w:p w14:paraId="4DB55731" w14:textId="77777777" w:rsidR="00C35253" w:rsidRPr="00771B7E" w:rsidRDefault="00C35253" w:rsidP="00F67007">
            <w:pPr>
              <w:numPr>
                <w:ilvl w:val="0"/>
                <w:numId w:val="11"/>
              </w:numPr>
              <w:tabs>
                <w:tab w:val="left" w:pos="295"/>
              </w:tabs>
              <w:overflowPunct/>
              <w:autoSpaceDE/>
              <w:adjustRightInd/>
              <w:ind w:left="12" w:firstLine="0"/>
              <w:jc w:val="both"/>
              <w:rPr>
                <w:rFonts w:ascii="Arial" w:hAnsi="Arial" w:cs="Arial"/>
                <w:sz w:val="18"/>
                <w:szCs w:val="18"/>
              </w:rPr>
            </w:pPr>
            <w:r w:rsidRPr="00771B7E">
              <w:rPr>
                <w:rFonts w:ascii="Arial" w:hAnsi="Arial" w:cs="Arial"/>
                <w:sz w:val="18"/>
                <w:szCs w:val="18"/>
              </w:rPr>
              <w:t>Título IV de la Rendición de Cuentas</w:t>
            </w:r>
          </w:p>
          <w:p w14:paraId="40DECC6A" w14:textId="77777777" w:rsidR="00C35253" w:rsidRPr="00771B7E" w:rsidRDefault="00C35253" w:rsidP="00F67007">
            <w:pPr>
              <w:numPr>
                <w:ilvl w:val="0"/>
                <w:numId w:val="11"/>
              </w:numPr>
              <w:tabs>
                <w:tab w:val="left" w:pos="295"/>
              </w:tabs>
              <w:overflowPunct/>
              <w:autoSpaceDE/>
              <w:adjustRightInd/>
              <w:ind w:left="12" w:firstLine="0"/>
              <w:jc w:val="both"/>
              <w:rPr>
                <w:rFonts w:ascii="Arial" w:hAnsi="Arial" w:cs="Arial"/>
                <w:sz w:val="18"/>
                <w:szCs w:val="18"/>
              </w:rPr>
            </w:pPr>
            <w:r w:rsidRPr="00771B7E">
              <w:rPr>
                <w:rFonts w:ascii="Arial" w:hAnsi="Arial" w:cs="Arial"/>
                <w:sz w:val="18"/>
                <w:szCs w:val="18"/>
              </w:rPr>
              <w:t>Capítulo I Rendición de cuentas de la Rama Ejecutiva.</w:t>
            </w:r>
          </w:p>
          <w:p w14:paraId="3E54E1A3"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Artículo 48 a 57: Disposiciones en materia de rendición de cuentas.</w:t>
            </w:r>
          </w:p>
        </w:tc>
      </w:tr>
      <w:tr w:rsidR="00C35253" w:rsidRPr="00771B7E" w14:paraId="45F802A8"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E6A31"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Decreto Nacional 1499 de 2017</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2CD67B"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Modelo Integrado de Planeación y Gestión</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2D101C" w14:textId="77777777" w:rsidR="00C35253" w:rsidRPr="00771B7E" w:rsidRDefault="00C35253" w:rsidP="000E1781">
            <w:pPr>
              <w:jc w:val="both"/>
              <w:rPr>
                <w:rFonts w:ascii="Arial" w:hAnsi="Arial" w:cs="Arial"/>
                <w:bCs/>
                <w:iCs/>
                <w:sz w:val="18"/>
                <w:szCs w:val="18"/>
              </w:rPr>
            </w:pPr>
            <w:r w:rsidRPr="00771B7E">
              <w:rPr>
                <w:rFonts w:ascii="Arial" w:hAnsi="Arial" w:cs="Arial"/>
                <w:bCs/>
                <w:iCs/>
                <w:sz w:val="18"/>
                <w:szCs w:val="18"/>
              </w:rPr>
              <w:t>Lo relacionado con el Sistema de Gestión establecido en el artículo 133 de la Ley 1753 de 2015.</w:t>
            </w:r>
          </w:p>
          <w:p w14:paraId="17D003E0" w14:textId="77777777" w:rsidR="00C35253" w:rsidRPr="00771B7E" w:rsidRDefault="00C35253" w:rsidP="00F67007">
            <w:pPr>
              <w:numPr>
                <w:ilvl w:val="0"/>
                <w:numId w:val="12"/>
              </w:numPr>
              <w:overflowPunct/>
              <w:autoSpaceDE/>
              <w:adjustRightInd/>
              <w:ind w:left="295" w:hanging="283"/>
              <w:jc w:val="both"/>
              <w:rPr>
                <w:rFonts w:ascii="Arial" w:hAnsi="Arial" w:cs="Arial"/>
                <w:sz w:val="18"/>
                <w:szCs w:val="18"/>
              </w:rPr>
            </w:pPr>
            <w:r w:rsidRPr="00771B7E">
              <w:rPr>
                <w:rFonts w:ascii="Arial" w:hAnsi="Arial" w:cs="Arial"/>
                <w:sz w:val="18"/>
                <w:szCs w:val="18"/>
              </w:rPr>
              <w:t>Título 22 Sistemas de Gestión.</w:t>
            </w:r>
          </w:p>
          <w:p w14:paraId="22316C0A" w14:textId="77777777" w:rsidR="00C35253" w:rsidRPr="00771B7E" w:rsidRDefault="00C35253" w:rsidP="00F67007">
            <w:pPr>
              <w:numPr>
                <w:ilvl w:val="0"/>
                <w:numId w:val="12"/>
              </w:numPr>
              <w:overflowPunct/>
              <w:autoSpaceDE/>
              <w:adjustRightInd/>
              <w:ind w:left="295" w:hanging="283"/>
              <w:jc w:val="both"/>
              <w:rPr>
                <w:rFonts w:ascii="Arial" w:hAnsi="Arial" w:cs="Arial"/>
                <w:sz w:val="18"/>
                <w:szCs w:val="18"/>
              </w:rPr>
            </w:pPr>
            <w:r w:rsidRPr="00771B7E">
              <w:rPr>
                <w:rFonts w:ascii="Arial" w:hAnsi="Arial" w:cs="Arial"/>
                <w:sz w:val="18"/>
                <w:szCs w:val="18"/>
              </w:rPr>
              <w:t>Capítulo 2: Políticas de Gestión y Desempeño Institucional.</w:t>
            </w:r>
          </w:p>
          <w:p w14:paraId="5D0A6FEE" w14:textId="77777777" w:rsidR="00C35253" w:rsidRPr="00771B7E" w:rsidRDefault="00C35253" w:rsidP="00F67007">
            <w:pPr>
              <w:numPr>
                <w:ilvl w:val="0"/>
                <w:numId w:val="12"/>
              </w:numPr>
              <w:overflowPunct/>
              <w:autoSpaceDE/>
              <w:adjustRightInd/>
              <w:ind w:left="295" w:hanging="283"/>
              <w:jc w:val="both"/>
              <w:rPr>
                <w:rFonts w:ascii="Arial" w:hAnsi="Arial" w:cs="Arial"/>
                <w:sz w:val="18"/>
                <w:szCs w:val="18"/>
              </w:rPr>
            </w:pPr>
            <w:r w:rsidRPr="00771B7E">
              <w:rPr>
                <w:rFonts w:ascii="Arial" w:hAnsi="Arial" w:cs="Arial"/>
                <w:sz w:val="18"/>
                <w:szCs w:val="18"/>
              </w:rPr>
              <w:t>Artículo 2.2.22.2.1 Políticas de Gestión y Desempeño Institucional.</w:t>
            </w:r>
          </w:p>
          <w:p w14:paraId="7474F56B"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Numeral 8. Participación Ciudadana en la Gestión Pública.</w:t>
            </w:r>
          </w:p>
        </w:tc>
      </w:tr>
      <w:tr w:rsidR="001A6FB1" w:rsidRPr="00771B7E" w14:paraId="27005AC6"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3F5C1" w14:textId="53A722DD" w:rsidR="001A6FB1" w:rsidRPr="00771B7E" w:rsidRDefault="001A6FB1" w:rsidP="009E6C59">
            <w:pPr>
              <w:jc w:val="both"/>
              <w:rPr>
                <w:rFonts w:ascii="Arial" w:hAnsi="Arial" w:cs="Arial"/>
                <w:sz w:val="18"/>
                <w:szCs w:val="18"/>
              </w:rPr>
            </w:pPr>
            <w:r w:rsidRPr="00771B7E">
              <w:rPr>
                <w:rFonts w:ascii="Arial" w:hAnsi="Arial" w:cs="Arial"/>
                <w:sz w:val="18"/>
                <w:szCs w:val="18"/>
              </w:rPr>
              <w:lastRenderedPageBreak/>
              <w:t>Ley 1952 de 2019</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7D471" w14:textId="35EA9147" w:rsidR="001A6FB1" w:rsidRPr="00771B7E" w:rsidRDefault="001A6FB1" w:rsidP="000E1781">
            <w:pPr>
              <w:jc w:val="both"/>
              <w:rPr>
                <w:rFonts w:ascii="Arial" w:hAnsi="Arial" w:cs="Arial"/>
                <w:sz w:val="18"/>
                <w:szCs w:val="18"/>
              </w:rPr>
            </w:pPr>
            <w:r w:rsidRPr="00771B7E">
              <w:rPr>
                <w:rFonts w:ascii="Arial" w:hAnsi="Arial" w:cs="Arial"/>
                <w:sz w:val="18"/>
                <w:szCs w:val="18"/>
              </w:rPr>
              <w:t>Por medio de la cual se expide el código general disciplinario se derogan la ley 734 de 2002 y algunas disposiciones de la ley 1474 de 2011, relacionadas con el derecho disciplinario.</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DB909" w14:textId="6DF94D7C" w:rsidR="001A6FB1" w:rsidRPr="00771B7E" w:rsidRDefault="001A6FB1" w:rsidP="001A6FB1">
            <w:pPr>
              <w:tabs>
                <w:tab w:val="left" w:pos="242"/>
              </w:tabs>
              <w:overflowPunct/>
              <w:autoSpaceDE/>
              <w:adjustRightInd/>
              <w:ind w:left="103"/>
              <w:jc w:val="both"/>
              <w:rPr>
                <w:rFonts w:ascii="Arial" w:hAnsi="Arial" w:cs="Arial"/>
                <w:sz w:val="18"/>
                <w:szCs w:val="18"/>
              </w:rPr>
            </w:pPr>
            <w:r w:rsidRPr="00771B7E">
              <w:rPr>
                <w:rFonts w:ascii="Arial" w:hAnsi="Arial" w:cs="Arial"/>
                <w:sz w:val="18"/>
                <w:szCs w:val="18"/>
              </w:rPr>
              <w:t>Se establecen los deberes de los servidores públicos. En particular, respecto de la información se precisan las siguientes obligaciones: custodia, uso de los sistemas de información disponibles, publicación mensual de los informes que se generen sobre la gestión y respuesta a los requerimientos de los ciudadanos.</w:t>
            </w:r>
          </w:p>
        </w:tc>
      </w:tr>
      <w:tr w:rsidR="00C35253" w:rsidRPr="00771B7E" w14:paraId="0F8EE3AF" w14:textId="77777777" w:rsidTr="001A6FB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8AB960" w14:textId="77777777" w:rsidR="00C35253" w:rsidRPr="00771B7E" w:rsidRDefault="00C35253" w:rsidP="009E6C59">
            <w:pPr>
              <w:jc w:val="both"/>
              <w:rPr>
                <w:rFonts w:ascii="Arial" w:hAnsi="Arial" w:cs="Arial"/>
                <w:sz w:val="18"/>
                <w:szCs w:val="18"/>
              </w:rPr>
            </w:pPr>
            <w:r w:rsidRPr="00771B7E">
              <w:rPr>
                <w:rFonts w:ascii="Arial" w:hAnsi="Arial" w:cs="Arial"/>
                <w:sz w:val="18"/>
                <w:szCs w:val="18"/>
              </w:rPr>
              <w:t xml:space="preserve">Manual </w:t>
            </w:r>
          </w:p>
        </w:tc>
        <w:tc>
          <w:tcPr>
            <w:tcW w:w="3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F6899E" w14:textId="77777777" w:rsidR="00C35253" w:rsidRPr="00771B7E" w:rsidRDefault="00C35253" w:rsidP="000E1781">
            <w:pPr>
              <w:jc w:val="both"/>
              <w:rPr>
                <w:rFonts w:ascii="Arial" w:hAnsi="Arial" w:cs="Arial"/>
                <w:sz w:val="18"/>
                <w:szCs w:val="18"/>
              </w:rPr>
            </w:pPr>
            <w:r w:rsidRPr="00771B7E">
              <w:rPr>
                <w:rFonts w:ascii="Arial" w:hAnsi="Arial" w:cs="Arial"/>
                <w:sz w:val="18"/>
                <w:szCs w:val="18"/>
              </w:rPr>
              <w:t xml:space="preserve">Manual Único de Rendición de cuentas del Departamento Administrativo de la Función Publica </w:t>
            </w:r>
          </w:p>
        </w:t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0A41E5" w14:textId="77777777" w:rsidR="00C35253" w:rsidRPr="00771B7E" w:rsidRDefault="00C35253" w:rsidP="00F67007">
            <w:pPr>
              <w:numPr>
                <w:ilvl w:val="0"/>
                <w:numId w:val="13"/>
              </w:numPr>
              <w:tabs>
                <w:tab w:val="left" w:pos="242"/>
              </w:tabs>
              <w:overflowPunct/>
              <w:autoSpaceDE/>
              <w:adjustRightInd/>
              <w:ind w:left="103" w:hanging="103"/>
              <w:jc w:val="both"/>
              <w:rPr>
                <w:rFonts w:ascii="Arial" w:hAnsi="Arial" w:cs="Arial"/>
                <w:sz w:val="18"/>
                <w:szCs w:val="18"/>
              </w:rPr>
            </w:pPr>
            <w:r w:rsidRPr="00771B7E">
              <w:rPr>
                <w:rFonts w:ascii="Arial" w:hAnsi="Arial" w:cs="Arial"/>
                <w:sz w:val="18"/>
                <w:szCs w:val="18"/>
              </w:rPr>
              <w:t>Tercera  Dimensión “Gestión con Valores para Resultados”.</w:t>
            </w:r>
          </w:p>
        </w:tc>
      </w:tr>
    </w:tbl>
    <w:p w14:paraId="77C15CDB" w14:textId="77777777" w:rsidR="00B37228" w:rsidRPr="00771B7E" w:rsidRDefault="00B37228" w:rsidP="009E6C59">
      <w:pPr>
        <w:rPr>
          <w:rFonts w:ascii="Arial" w:hAnsi="Arial" w:cs="Arial"/>
          <w:sz w:val="22"/>
          <w:szCs w:val="22"/>
          <w:lang w:val="es-CO"/>
        </w:rPr>
      </w:pPr>
    </w:p>
    <w:p w14:paraId="501424CF" w14:textId="77777777" w:rsidR="00B37228" w:rsidRPr="00771B7E" w:rsidRDefault="00B37228" w:rsidP="000E1781">
      <w:pPr>
        <w:rPr>
          <w:rFonts w:ascii="Arial" w:hAnsi="Arial" w:cs="Arial"/>
          <w:sz w:val="22"/>
          <w:szCs w:val="22"/>
        </w:rPr>
      </w:pPr>
    </w:p>
    <w:p w14:paraId="2FD4FEBA" w14:textId="77777777" w:rsidR="00B37228" w:rsidRPr="00771B7E" w:rsidRDefault="00B37228" w:rsidP="000E1781">
      <w:pPr>
        <w:jc w:val="both"/>
        <w:rPr>
          <w:rFonts w:ascii="Arial" w:hAnsi="Arial" w:cs="Arial"/>
          <w:sz w:val="22"/>
          <w:szCs w:val="22"/>
        </w:rPr>
      </w:pPr>
    </w:p>
    <w:p w14:paraId="193D0422" w14:textId="77777777" w:rsidR="00A66394" w:rsidRPr="00771B7E" w:rsidRDefault="00A66394">
      <w:pPr>
        <w:rPr>
          <w:rFonts w:ascii="Arial" w:hAnsi="Arial" w:cs="Arial"/>
          <w:sz w:val="22"/>
          <w:szCs w:val="22"/>
        </w:rPr>
      </w:pPr>
    </w:p>
    <w:sectPr w:rsidR="00A66394" w:rsidRPr="00771B7E" w:rsidSect="004F1296">
      <w:headerReference w:type="default" r:id="rId20"/>
      <w:footerReference w:type="default" r:id="rId21"/>
      <w:pgSz w:w="12240" w:h="15840" w:code="1"/>
      <w:pgMar w:top="1418" w:right="1325" w:bottom="1701" w:left="1701"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C4104" w14:textId="77777777" w:rsidR="00FD3519" w:rsidRDefault="00FD3519" w:rsidP="00B3628C">
      <w:r>
        <w:separator/>
      </w:r>
    </w:p>
  </w:endnote>
  <w:endnote w:type="continuationSeparator" w:id="0">
    <w:p w14:paraId="0C3E012D" w14:textId="77777777" w:rsidR="00FD3519" w:rsidRDefault="00FD3519"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228F2" w14:textId="77777777" w:rsidR="00486888" w:rsidRPr="003D1FFF" w:rsidRDefault="00486888" w:rsidP="00B3628C">
    <w:pPr>
      <w:pStyle w:val="Piedepgina"/>
      <w:jc w:val="right"/>
      <w:rPr>
        <w:rFonts w:ascii="Arial" w:hAnsi="Arial" w:cs="Arial"/>
        <w:sz w:val="16"/>
        <w:szCs w:val="16"/>
      </w:rPr>
    </w:pPr>
    <w:r>
      <w:tab/>
    </w:r>
    <w:r w:rsidRPr="003D1FFF">
      <w:rPr>
        <w:rFonts w:ascii="Arial" w:hAnsi="Arial" w:cs="Arial"/>
        <w:sz w:val="16"/>
        <w:szCs w:val="16"/>
      </w:rPr>
      <w:fldChar w:fldCharType="begin"/>
    </w:r>
    <w:r w:rsidRPr="003D1FFF">
      <w:rPr>
        <w:rFonts w:ascii="Arial" w:hAnsi="Arial" w:cs="Arial"/>
        <w:sz w:val="16"/>
        <w:szCs w:val="16"/>
      </w:rPr>
      <w:instrText xml:space="preserve"> PAGE   \* MERGEFORMAT </w:instrText>
    </w:r>
    <w:r w:rsidRPr="003D1FFF">
      <w:rPr>
        <w:rFonts w:ascii="Arial" w:hAnsi="Arial" w:cs="Arial"/>
        <w:sz w:val="16"/>
        <w:szCs w:val="16"/>
      </w:rPr>
      <w:fldChar w:fldCharType="separate"/>
    </w:r>
    <w:r w:rsidR="005D4BD5">
      <w:rPr>
        <w:rFonts w:ascii="Arial" w:hAnsi="Arial" w:cs="Arial"/>
        <w:noProof/>
        <w:sz w:val="16"/>
        <w:szCs w:val="16"/>
      </w:rPr>
      <w:t>17</w:t>
    </w:r>
    <w:r w:rsidRPr="003D1F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632D0" w14:textId="77777777" w:rsidR="00FD3519" w:rsidRDefault="00FD3519" w:rsidP="00B3628C">
      <w:r>
        <w:separator/>
      </w:r>
    </w:p>
  </w:footnote>
  <w:footnote w:type="continuationSeparator" w:id="0">
    <w:p w14:paraId="1AC513D5" w14:textId="77777777" w:rsidR="00FD3519" w:rsidRDefault="00FD3519" w:rsidP="00B3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3876"/>
      <w:gridCol w:w="3260"/>
    </w:tblGrid>
    <w:tr w:rsidR="00486888" w:rsidRPr="00380FCE" w14:paraId="6EBF080B" w14:textId="77777777" w:rsidTr="002E3DB0">
      <w:trPr>
        <w:trHeight w:val="479"/>
      </w:trPr>
      <w:tc>
        <w:tcPr>
          <w:tcW w:w="2328" w:type="dxa"/>
          <w:vMerge w:val="restart"/>
          <w:shd w:val="clear" w:color="auto" w:fill="auto"/>
        </w:tcPr>
        <w:p w14:paraId="19E816D9" w14:textId="77777777" w:rsidR="00486888" w:rsidRPr="0010512D" w:rsidRDefault="00486888" w:rsidP="00DC36B8">
          <w:pPr>
            <w:pStyle w:val="Encabezado"/>
            <w:jc w:val="center"/>
            <w:rPr>
              <w:rFonts w:ascii="Arial" w:hAnsi="Arial"/>
              <w:sz w:val="24"/>
              <w:szCs w:val="24"/>
            </w:rPr>
          </w:pPr>
          <w:r>
            <w:rPr>
              <w:noProof/>
              <w:lang w:val="es-CO"/>
            </w:rPr>
            <w:drawing>
              <wp:anchor distT="0" distB="0" distL="114300" distR="114300" simplePos="0" relativeHeight="251661824" behindDoc="0" locked="0" layoutInCell="1" allowOverlap="1" wp14:anchorId="6326DE38" wp14:editId="6527FB69">
                <wp:simplePos x="0" y="0"/>
                <wp:positionH relativeFrom="column">
                  <wp:posOffset>43815</wp:posOffset>
                </wp:positionH>
                <wp:positionV relativeFrom="paragraph">
                  <wp:posOffset>139700</wp:posOffset>
                </wp:positionV>
                <wp:extent cx="1263650" cy="927735"/>
                <wp:effectExtent l="0" t="0" r="0" b="5715"/>
                <wp:wrapSquare wrapText="bothSides"/>
                <wp:docPr id="7" name="Imagen 7"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27735"/>
                        </a:xfrm>
                        <a:prstGeom prst="rect">
                          <a:avLst/>
                        </a:prstGeom>
                        <a:noFill/>
                        <a:ln>
                          <a:noFill/>
                        </a:ln>
                      </pic:spPr>
                    </pic:pic>
                  </a:graphicData>
                </a:graphic>
              </wp:anchor>
            </w:drawing>
          </w:r>
        </w:p>
      </w:tc>
      <w:tc>
        <w:tcPr>
          <w:tcW w:w="3876" w:type="dxa"/>
          <w:vMerge w:val="restart"/>
          <w:shd w:val="clear" w:color="auto" w:fill="auto"/>
          <w:vAlign w:val="center"/>
        </w:tcPr>
        <w:p w14:paraId="77C143F1" w14:textId="77777777" w:rsidR="00486888" w:rsidRPr="00380FCE" w:rsidRDefault="00486888" w:rsidP="00DC36B8">
          <w:pPr>
            <w:pStyle w:val="Encabezado"/>
            <w:jc w:val="center"/>
            <w:rPr>
              <w:rFonts w:ascii="Arial" w:hAnsi="Arial"/>
              <w:sz w:val="24"/>
              <w:szCs w:val="24"/>
            </w:rPr>
          </w:pPr>
        </w:p>
        <w:p w14:paraId="4C586ED5" w14:textId="77777777" w:rsidR="00486888" w:rsidRPr="00DC4E6C" w:rsidRDefault="00486888" w:rsidP="00DC36B8">
          <w:pPr>
            <w:pStyle w:val="Prrafodelista"/>
            <w:ind w:left="0"/>
            <w:jc w:val="center"/>
            <w:rPr>
              <w:b/>
              <w:sz w:val="24"/>
            </w:rPr>
          </w:pPr>
          <w:r>
            <w:rPr>
              <w:rFonts w:ascii="Arial" w:hAnsi="Arial" w:cs="Arial"/>
              <w:b/>
              <w:sz w:val="24"/>
              <w:szCs w:val="24"/>
              <w:lang w:val="es-ES"/>
            </w:rPr>
            <w:t>DOCUMENTO ESTRATEGIA DE RENDICIÓN DE CUENTAS</w:t>
          </w:r>
        </w:p>
      </w:tc>
      <w:tc>
        <w:tcPr>
          <w:tcW w:w="3260" w:type="dxa"/>
          <w:shd w:val="clear" w:color="auto" w:fill="auto"/>
          <w:vAlign w:val="center"/>
        </w:tcPr>
        <w:p w14:paraId="77A0CC00" w14:textId="77777777" w:rsidR="00486888" w:rsidRPr="00AA3292" w:rsidRDefault="00486888" w:rsidP="00DC36B8">
          <w:pPr>
            <w:pStyle w:val="Encabezado"/>
            <w:rPr>
              <w:rFonts w:ascii="Arial" w:hAnsi="Arial" w:cs="Arial"/>
            </w:rPr>
          </w:pPr>
          <w:r w:rsidRPr="00AA3292">
            <w:rPr>
              <w:rFonts w:ascii="Arial" w:hAnsi="Arial" w:cs="Arial"/>
              <w:b/>
            </w:rPr>
            <w:t xml:space="preserve">Código: </w:t>
          </w:r>
          <w:r w:rsidRPr="00DC36B8">
            <w:rPr>
              <w:rFonts w:ascii="Arial" w:hAnsi="Arial" w:cs="Arial"/>
            </w:rPr>
            <w:t>DOC-AC-10-02</w:t>
          </w:r>
        </w:p>
      </w:tc>
    </w:tr>
    <w:tr w:rsidR="00486888" w:rsidRPr="00380FCE" w14:paraId="6D0FFD2F" w14:textId="77777777" w:rsidTr="002E3DB0">
      <w:trPr>
        <w:trHeight w:val="479"/>
      </w:trPr>
      <w:tc>
        <w:tcPr>
          <w:tcW w:w="2328" w:type="dxa"/>
          <w:vMerge/>
          <w:shd w:val="clear" w:color="auto" w:fill="auto"/>
        </w:tcPr>
        <w:p w14:paraId="31A48B81" w14:textId="77777777" w:rsidR="00486888" w:rsidRPr="0010512D" w:rsidRDefault="00486888" w:rsidP="00DC36B8">
          <w:pPr>
            <w:pStyle w:val="Encabezado"/>
            <w:rPr>
              <w:rFonts w:ascii="Arial" w:hAnsi="Arial"/>
              <w:sz w:val="24"/>
              <w:szCs w:val="24"/>
            </w:rPr>
          </w:pPr>
        </w:p>
      </w:tc>
      <w:tc>
        <w:tcPr>
          <w:tcW w:w="3876" w:type="dxa"/>
          <w:vMerge/>
          <w:shd w:val="clear" w:color="auto" w:fill="auto"/>
        </w:tcPr>
        <w:p w14:paraId="108890EF" w14:textId="77777777" w:rsidR="00486888" w:rsidRPr="00380FCE" w:rsidRDefault="00486888" w:rsidP="00DC36B8">
          <w:pPr>
            <w:pStyle w:val="Encabezado"/>
            <w:rPr>
              <w:rFonts w:ascii="Arial" w:hAnsi="Arial"/>
              <w:sz w:val="24"/>
              <w:szCs w:val="24"/>
            </w:rPr>
          </w:pPr>
        </w:p>
      </w:tc>
      <w:tc>
        <w:tcPr>
          <w:tcW w:w="3260" w:type="dxa"/>
          <w:shd w:val="clear" w:color="auto" w:fill="auto"/>
          <w:vAlign w:val="center"/>
        </w:tcPr>
        <w:p w14:paraId="622CD5B9" w14:textId="42559F4B" w:rsidR="00486888" w:rsidRPr="00AA3292" w:rsidRDefault="00486888" w:rsidP="00D375DC">
          <w:pPr>
            <w:pStyle w:val="Encabezado"/>
            <w:rPr>
              <w:rFonts w:ascii="Arial" w:hAnsi="Arial" w:cs="Arial"/>
            </w:rPr>
          </w:pPr>
          <w:r w:rsidRPr="00AA3292">
            <w:rPr>
              <w:rFonts w:ascii="Arial" w:hAnsi="Arial" w:cs="Arial"/>
              <w:b/>
            </w:rPr>
            <w:t>Versión:</w:t>
          </w:r>
          <w:r>
            <w:rPr>
              <w:rFonts w:ascii="Arial" w:hAnsi="Arial" w:cs="Arial"/>
            </w:rPr>
            <w:t xml:space="preserve"> </w:t>
          </w:r>
          <w:r w:rsidR="00D375DC">
            <w:rPr>
              <w:rFonts w:ascii="Arial" w:hAnsi="Arial" w:cs="Arial"/>
            </w:rPr>
            <w:t>4</w:t>
          </w:r>
        </w:p>
      </w:tc>
    </w:tr>
    <w:tr w:rsidR="00486888" w:rsidRPr="00380FCE" w14:paraId="65B20383" w14:textId="77777777" w:rsidTr="002E3DB0">
      <w:trPr>
        <w:trHeight w:val="479"/>
      </w:trPr>
      <w:tc>
        <w:tcPr>
          <w:tcW w:w="2328" w:type="dxa"/>
          <w:vMerge/>
          <w:shd w:val="clear" w:color="auto" w:fill="auto"/>
        </w:tcPr>
        <w:p w14:paraId="1970F242" w14:textId="77777777" w:rsidR="00486888" w:rsidRPr="0010512D" w:rsidRDefault="00486888" w:rsidP="00DC36B8">
          <w:pPr>
            <w:pStyle w:val="Encabezado"/>
            <w:rPr>
              <w:rFonts w:ascii="Arial" w:hAnsi="Arial"/>
              <w:sz w:val="24"/>
              <w:szCs w:val="24"/>
            </w:rPr>
          </w:pPr>
        </w:p>
      </w:tc>
      <w:tc>
        <w:tcPr>
          <w:tcW w:w="3876" w:type="dxa"/>
          <w:vMerge/>
          <w:shd w:val="clear" w:color="auto" w:fill="auto"/>
        </w:tcPr>
        <w:p w14:paraId="1D0A7CF6" w14:textId="77777777" w:rsidR="00486888" w:rsidRPr="00380FCE" w:rsidRDefault="00486888" w:rsidP="00DC36B8">
          <w:pPr>
            <w:pStyle w:val="Encabezado"/>
            <w:rPr>
              <w:rFonts w:ascii="Arial" w:hAnsi="Arial"/>
              <w:sz w:val="24"/>
              <w:szCs w:val="24"/>
            </w:rPr>
          </w:pPr>
        </w:p>
      </w:tc>
      <w:tc>
        <w:tcPr>
          <w:tcW w:w="3260" w:type="dxa"/>
          <w:shd w:val="clear" w:color="auto" w:fill="auto"/>
          <w:vAlign w:val="center"/>
        </w:tcPr>
        <w:p w14:paraId="36689893" w14:textId="378756A6" w:rsidR="00486888" w:rsidRPr="00AA3292" w:rsidRDefault="00486888" w:rsidP="005D4BD5">
          <w:pPr>
            <w:pStyle w:val="Encabezado"/>
            <w:rPr>
              <w:rFonts w:ascii="Arial" w:hAnsi="Arial" w:cs="Arial"/>
              <w:b/>
            </w:rPr>
          </w:pPr>
          <w:r w:rsidRPr="00AA3292">
            <w:rPr>
              <w:rFonts w:ascii="Arial" w:hAnsi="Arial" w:cs="Arial"/>
              <w:b/>
            </w:rPr>
            <w:t xml:space="preserve">Fecha Aprobación: </w:t>
          </w:r>
          <w:r w:rsidR="005D4BD5" w:rsidRPr="005D4BD5">
            <w:rPr>
              <w:rFonts w:ascii="Arial" w:hAnsi="Arial" w:cs="Arial"/>
            </w:rPr>
            <w:t>29</w:t>
          </w:r>
          <w:r w:rsidR="005D4BD5">
            <w:rPr>
              <w:rFonts w:ascii="Arial" w:hAnsi="Arial" w:cs="Arial"/>
            </w:rPr>
            <w:t>/03/2019</w:t>
          </w:r>
        </w:p>
      </w:tc>
    </w:tr>
    <w:tr w:rsidR="00486888" w:rsidRPr="006B09FA" w14:paraId="6371C32D" w14:textId="77777777" w:rsidTr="002E3DB0">
      <w:trPr>
        <w:trHeight w:val="479"/>
      </w:trPr>
      <w:tc>
        <w:tcPr>
          <w:tcW w:w="2328" w:type="dxa"/>
          <w:vMerge/>
          <w:shd w:val="clear" w:color="auto" w:fill="auto"/>
        </w:tcPr>
        <w:p w14:paraId="793D96B2" w14:textId="77777777" w:rsidR="00486888" w:rsidRPr="0010512D" w:rsidRDefault="00486888" w:rsidP="00DC36B8">
          <w:pPr>
            <w:pStyle w:val="Encabezado"/>
            <w:rPr>
              <w:rFonts w:ascii="Arial" w:hAnsi="Arial"/>
              <w:sz w:val="24"/>
              <w:szCs w:val="24"/>
            </w:rPr>
          </w:pPr>
        </w:p>
      </w:tc>
      <w:tc>
        <w:tcPr>
          <w:tcW w:w="3876" w:type="dxa"/>
          <w:vMerge/>
          <w:shd w:val="clear" w:color="auto" w:fill="auto"/>
        </w:tcPr>
        <w:p w14:paraId="4ACB3043" w14:textId="77777777" w:rsidR="00486888" w:rsidRPr="0010512D" w:rsidRDefault="00486888" w:rsidP="00DC36B8">
          <w:pPr>
            <w:pStyle w:val="Encabezado"/>
            <w:rPr>
              <w:rFonts w:ascii="Arial" w:hAnsi="Arial"/>
              <w:sz w:val="24"/>
              <w:szCs w:val="24"/>
            </w:rPr>
          </w:pPr>
        </w:p>
      </w:tc>
      <w:tc>
        <w:tcPr>
          <w:tcW w:w="3260" w:type="dxa"/>
          <w:shd w:val="clear" w:color="auto" w:fill="auto"/>
          <w:vAlign w:val="center"/>
        </w:tcPr>
        <w:sdt>
          <w:sdtPr>
            <w:rPr>
              <w:rFonts w:ascii="Arial" w:hAnsi="Arial" w:cs="Arial"/>
            </w:rPr>
            <w:id w:val="216750253"/>
            <w:docPartObj>
              <w:docPartGallery w:val="Page Numbers (Top of Page)"/>
              <w:docPartUnique/>
            </w:docPartObj>
          </w:sdtPr>
          <w:sdtEndPr/>
          <w:sdtContent>
            <w:p w14:paraId="70074F15" w14:textId="77777777" w:rsidR="00486888" w:rsidRPr="00AA3292" w:rsidRDefault="00486888" w:rsidP="00DC36B8">
              <w:pPr>
                <w:pStyle w:val="Encabezado"/>
                <w:rPr>
                  <w:rFonts w:ascii="Arial" w:hAnsi="Arial" w:cs="Arial"/>
                </w:rPr>
              </w:pPr>
              <w:r w:rsidRPr="00AA3292">
                <w:rPr>
                  <w:rFonts w:ascii="Arial" w:hAnsi="Arial" w:cs="Arial"/>
                  <w:b/>
                </w:rPr>
                <w:t xml:space="preserve">Página </w:t>
              </w:r>
              <w:r w:rsidRPr="00AA3292">
                <w:rPr>
                  <w:rFonts w:ascii="Arial" w:hAnsi="Arial" w:cs="Arial"/>
                  <w:b/>
                </w:rPr>
                <w:fldChar w:fldCharType="begin"/>
              </w:r>
              <w:r w:rsidRPr="00AA3292">
                <w:rPr>
                  <w:rFonts w:ascii="Arial" w:hAnsi="Arial" w:cs="Arial"/>
                  <w:b/>
                </w:rPr>
                <w:instrText>PAGE</w:instrText>
              </w:r>
              <w:r w:rsidRPr="00AA3292">
                <w:rPr>
                  <w:rFonts w:ascii="Arial" w:hAnsi="Arial" w:cs="Arial"/>
                  <w:b/>
                </w:rPr>
                <w:fldChar w:fldCharType="separate"/>
              </w:r>
              <w:r w:rsidR="005D4BD5">
                <w:rPr>
                  <w:rFonts w:ascii="Arial" w:hAnsi="Arial" w:cs="Arial"/>
                  <w:b/>
                  <w:noProof/>
                </w:rPr>
                <w:t>17</w:t>
              </w:r>
              <w:r w:rsidRPr="00AA3292">
                <w:rPr>
                  <w:rFonts w:ascii="Arial" w:hAnsi="Arial" w:cs="Arial"/>
                  <w:b/>
                </w:rPr>
                <w:fldChar w:fldCharType="end"/>
              </w:r>
              <w:r w:rsidRPr="00AA3292">
                <w:rPr>
                  <w:rFonts w:ascii="Arial" w:hAnsi="Arial" w:cs="Arial"/>
                  <w:b/>
                </w:rPr>
                <w:t xml:space="preserve"> de </w:t>
              </w:r>
              <w:r w:rsidRPr="00AA3292">
                <w:rPr>
                  <w:rFonts w:ascii="Arial" w:hAnsi="Arial" w:cs="Arial"/>
                  <w:b/>
                </w:rPr>
                <w:fldChar w:fldCharType="begin"/>
              </w:r>
              <w:r w:rsidRPr="00AA3292">
                <w:rPr>
                  <w:rFonts w:ascii="Arial" w:hAnsi="Arial" w:cs="Arial"/>
                  <w:b/>
                </w:rPr>
                <w:instrText>NUMPAGES</w:instrText>
              </w:r>
              <w:r w:rsidRPr="00AA3292">
                <w:rPr>
                  <w:rFonts w:ascii="Arial" w:hAnsi="Arial" w:cs="Arial"/>
                  <w:b/>
                </w:rPr>
                <w:fldChar w:fldCharType="separate"/>
              </w:r>
              <w:r w:rsidR="005D4BD5">
                <w:rPr>
                  <w:rFonts w:ascii="Arial" w:hAnsi="Arial" w:cs="Arial"/>
                  <w:b/>
                  <w:noProof/>
                </w:rPr>
                <w:t>17</w:t>
              </w:r>
              <w:r w:rsidRPr="00AA3292">
                <w:rPr>
                  <w:rFonts w:ascii="Arial" w:hAnsi="Arial" w:cs="Arial"/>
                  <w:b/>
                </w:rPr>
                <w:fldChar w:fldCharType="end"/>
              </w:r>
            </w:p>
          </w:sdtContent>
        </w:sdt>
      </w:tc>
    </w:tr>
  </w:tbl>
  <w:p w14:paraId="1E597A94" w14:textId="77777777" w:rsidR="00486888" w:rsidRDefault="00486888" w:rsidP="0043760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C4E"/>
    <w:multiLevelType w:val="multilevel"/>
    <w:tmpl w:val="6D3C2B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A91AA8"/>
    <w:multiLevelType w:val="hybridMultilevel"/>
    <w:tmpl w:val="958C883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F613D03"/>
    <w:multiLevelType w:val="hybridMultilevel"/>
    <w:tmpl w:val="BCB2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BB6D7D"/>
    <w:multiLevelType w:val="hybridMultilevel"/>
    <w:tmpl w:val="52FCFE5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8033FCE"/>
    <w:multiLevelType w:val="hybridMultilevel"/>
    <w:tmpl w:val="E2AA3B2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53B540B"/>
    <w:multiLevelType w:val="hybridMultilevel"/>
    <w:tmpl w:val="E9E6DBB6"/>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133A5E"/>
    <w:multiLevelType w:val="multilevel"/>
    <w:tmpl w:val="F1D083CE"/>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826A90"/>
    <w:multiLevelType w:val="hybridMultilevel"/>
    <w:tmpl w:val="EA94DC64"/>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8" w15:restartNumberingAfterBreak="0">
    <w:nsid w:val="553C24A0"/>
    <w:multiLevelType w:val="multilevel"/>
    <w:tmpl w:val="81DEB172"/>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64266C1"/>
    <w:multiLevelType w:val="hybridMultilevel"/>
    <w:tmpl w:val="8DEABA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5C5146ED"/>
    <w:multiLevelType w:val="hybridMultilevel"/>
    <w:tmpl w:val="8F809EB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2E94C97"/>
    <w:multiLevelType w:val="hybridMultilevel"/>
    <w:tmpl w:val="BE4C165C"/>
    <w:lvl w:ilvl="0" w:tplc="240A0001">
      <w:start w:val="1"/>
      <w:numFmt w:val="bullet"/>
      <w:lvlText w:val=""/>
      <w:lvlJc w:val="left"/>
      <w:pPr>
        <w:ind w:left="749" w:hanging="360"/>
      </w:pPr>
      <w:rPr>
        <w:rFonts w:ascii="Symbol" w:hAnsi="Symbol" w:hint="default"/>
      </w:rPr>
    </w:lvl>
    <w:lvl w:ilvl="1" w:tplc="240A0003" w:tentative="1">
      <w:start w:val="1"/>
      <w:numFmt w:val="bullet"/>
      <w:lvlText w:val="o"/>
      <w:lvlJc w:val="left"/>
      <w:pPr>
        <w:ind w:left="1469" w:hanging="360"/>
      </w:pPr>
      <w:rPr>
        <w:rFonts w:ascii="Courier New" w:hAnsi="Courier New" w:cs="Courier New" w:hint="default"/>
      </w:rPr>
    </w:lvl>
    <w:lvl w:ilvl="2" w:tplc="240A0005" w:tentative="1">
      <w:start w:val="1"/>
      <w:numFmt w:val="bullet"/>
      <w:lvlText w:val=""/>
      <w:lvlJc w:val="left"/>
      <w:pPr>
        <w:ind w:left="2189" w:hanging="360"/>
      </w:pPr>
      <w:rPr>
        <w:rFonts w:ascii="Wingdings" w:hAnsi="Wingdings" w:hint="default"/>
      </w:rPr>
    </w:lvl>
    <w:lvl w:ilvl="3" w:tplc="240A0001" w:tentative="1">
      <w:start w:val="1"/>
      <w:numFmt w:val="bullet"/>
      <w:lvlText w:val=""/>
      <w:lvlJc w:val="left"/>
      <w:pPr>
        <w:ind w:left="2909" w:hanging="360"/>
      </w:pPr>
      <w:rPr>
        <w:rFonts w:ascii="Symbol" w:hAnsi="Symbol" w:hint="default"/>
      </w:rPr>
    </w:lvl>
    <w:lvl w:ilvl="4" w:tplc="240A0003" w:tentative="1">
      <w:start w:val="1"/>
      <w:numFmt w:val="bullet"/>
      <w:lvlText w:val="o"/>
      <w:lvlJc w:val="left"/>
      <w:pPr>
        <w:ind w:left="3629" w:hanging="360"/>
      </w:pPr>
      <w:rPr>
        <w:rFonts w:ascii="Courier New" w:hAnsi="Courier New" w:cs="Courier New" w:hint="default"/>
      </w:rPr>
    </w:lvl>
    <w:lvl w:ilvl="5" w:tplc="240A0005" w:tentative="1">
      <w:start w:val="1"/>
      <w:numFmt w:val="bullet"/>
      <w:lvlText w:val=""/>
      <w:lvlJc w:val="left"/>
      <w:pPr>
        <w:ind w:left="4349" w:hanging="360"/>
      </w:pPr>
      <w:rPr>
        <w:rFonts w:ascii="Wingdings" w:hAnsi="Wingdings" w:hint="default"/>
      </w:rPr>
    </w:lvl>
    <w:lvl w:ilvl="6" w:tplc="240A0001" w:tentative="1">
      <w:start w:val="1"/>
      <w:numFmt w:val="bullet"/>
      <w:lvlText w:val=""/>
      <w:lvlJc w:val="left"/>
      <w:pPr>
        <w:ind w:left="5069" w:hanging="360"/>
      </w:pPr>
      <w:rPr>
        <w:rFonts w:ascii="Symbol" w:hAnsi="Symbol" w:hint="default"/>
      </w:rPr>
    </w:lvl>
    <w:lvl w:ilvl="7" w:tplc="240A0003" w:tentative="1">
      <w:start w:val="1"/>
      <w:numFmt w:val="bullet"/>
      <w:lvlText w:val="o"/>
      <w:lvlJc w:val="left"/>
      <w:pPr>
        <w:ind w:left="5789" w:hanging="360"/>
      </w:pPr>
      <w:rPr>
        <w:rFonts w:ascii="Courier New" w:hAnsi="Courier New" w:cs="Courier New" w:hint="default"/>
      </w:rPr>
    </w:lvl>
    <w:lvl w:ilvl="8" w:tplc="240A0005" w:tentative="1">
      <w:start w:val="1"/>
      <w:numFmt w:val="bullet"/>
      <w:lvlText w:val=""/>
      <w:lvlJc w:val="left"/>
      <w:pPr>
        <w:ind w:left="6509" w:hanging="360"/>
      </w:pPr>
      <w:rPr>
        <w:rFonts w:ascii="Wingdings" w:hAnsi="Wingdings" w:hint="default"/>
      </w:rPr>
    </w:lvl>
  </w:abstractNum>
  <w:abstractNum w:abstractNumId="12" w15:restartNumberingAfterBreak="0">
    <w:nsid w:val="760B45CF"/>
    <w:multiLevelType w:val="multilevel"/>
    <w:tmpl w:val="C652D2D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AB74C8"/>
    <w:multiLevelType w:val="hybridMultilevel"/>
    <w:tmpl w:val="C8BC76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6"/>
  </w:num>
  <w:num w:numId="6">
    <w:abstractNumId w:val="11"/>
  </w:num>
  <w:num w:numId="7">
    <w:abstractNumId w:val="12"/>
  </w:num>
  <w:num w:numId="8">
    <w:abstractNumId w:val="13"/>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D9"/>
    <w:rsid w:val="0000405E"/>
    <w:rsid w:val="00006BA2"/>
    <w:rsid w:val="00015B09"/>
    <w:rsid w:val="00022305"/>
    <w:rsid w:val="000237BC"/>
    <w:rsid w:val="000343F6"/>
    <w:rsid w:val="0003515A"/>
    <w:rsid w:val="0004407D"/>
    <w:rsid w:val="0005797B"/>
    <w:rsid w:val="000628F8"/>
    <w:rsid w:val="00065E0E"/>
    <w:rsid w:val="0006732A"/>
    <w:rsid w:val="00070897"/>
    <w:rsid w:val="00070F27"/>
    <w:rsid w:val="0008227D"/>
    <w:rsid w:val="00083C6B"/>
    <w:rsid w:val="00084AB9"/>
    <w:rsid w:val="00093ADB"/>
    <w:rsid w:val="00094ADE"/>
    <w:rsid w:val="000A4D30"/>
    <w:rsid w:val="000A72B1"/>
    <w:rsid w:val="000A7C12"/>
    <w:rsid w:val="000B6D19"/>
    <w:rsid w:val="000C56D7"/>
    <w:rsid w:val="000D50D9"/>
    <w:rsid w:val="000D5226"/>
    <w:rsid w:val="000E1781"/>
    <w:rsid w:val="000E345C"/>
    <w:rsid w:val="000E357F"/>
    <w:rsid w:val="000E6375"/>
    <w:rsid w:val="000F01FC"/>
    <w:rsid w:val="000F1351"/>
    <w:rsid w:val="000F31FF"/>
    <w:rsid w:val="000F5610"/>
    <w:rsid w:val="000F5D66"/>
    <w:rsid w:val="00112503"/>
    <w:rsid w:val="00125932"/>
    <w:rsid w:val="00130C2C"/>
    <w:rsid w:val="00141901"/>
    <w:rsid w:val="00141D30"/>
    <w:rsid w:val="00141F60"/>
    <w:rsid w:val="00145CD1"/>
    <w:rsid w:val="001506EA"/>
    <w:rsid w:val="001508CA"/>
    <w:rsid w:val="00152FA6"/>
    <w:rsid w:val="00155135"/>
    <w:rsid w:val="00161A81"/>
    <w:rsid w:val="00163110"/>
    <w:rsid w:val="00164700"/>
    <w:rsid w:val="0016639D"/>
    <w:rsid w:val="001677B6"/>
    <w:rsid w:val="00170A7D"/>
    <w:rsid w:val="001727C6"/>
    <w:rsid w:val="00181505"/>
    <w:rsid w:val="00183F4F"/>
    <w:rsid w:val="0019400B"/>
    <w:rsid w:val="001A5CEF"/>
    <w:rsid w:val="001A6FB1"/>
    <w:rsid w:val="001A7794"/>
    <w:rsid w:val="001B42F9"/>
    <w:rsid w:val="001B5C0D"/>
    <w:rsid w:val="001B5C10"/>
    <w:rsid w:val="001B7BAC"/>
    <w:rsid w:val="001C2677"/>
    <w:rsid w:val="001C3AD8"/>
    <w:rsid w:val="001E0703"/>
    <w:rsid w:val="00202233"/>
    <w:rsid w:val="0020405A"/>
    <w:rsid w:val="00204B4B"/>
    <w:rsid w:val="00204D41"/>
    <w:rsid w:val="00204FE1"/>
    <w:rsid w:val="0021307D"/>
    <w:rsid w:val="0022371F"/>
    <w:rsid w:val="00223E85"/>
    <w:rsid w:val="00224371"/>
    <w:rsid w:val="002326CA"/>
    <w:rsid w:val="00240F72"/>
    <w:rsid w:val="00271699"/>
    <w:rsid w:val="00280782"/>
    <w:rsid w:val="00280E34"/>
    <w:rsid w:val="00287BA7"/>
    <w:rsid w:val="002901EA"/>
    <w:rsid w:val="00293F4A"/>
    <w:rsid w:val="002A1FDC"/>
    <w:rsid w:val="002A27FB"/>
    <w:rsid w:val="002A6313"/>
    <w:rsid w:val="002A7D72"/>
    <w:rsid w:val="002B24D4"/>
    <w:rsid w:val="002B2831"/>
    <w:rsid w:val="002C0828"/>
    <w:rsid w:val="002C3084"/>
    <w:rsid w:val="002C7FE2"/>
    <w:rsid w:val="002D0981"/>
    <w:rsid w:val="002D5EA8"/>
    <w:rsid w:val="002E3DB0"/>
    <w:rsid w:val="002E6643"/>
    <w:rsid w:val="002F4AAC"/>
    <w:rsid w:val="002F5E00"/>
    <w:rsid w:val="00300D0C"/>
    <w:rsid w:val="00304DD2"/>
    <w:rsid w:val="00310735"/>
    <w:rsid w:val="003229FB"/>
    <w:rsid w:val="003248FF"/>
    <w:rsid w:val="003268A6"/>
    <w:rsid w:val="00330B62"/>
    <w:rsid w:val="00330B83"/>
    <w:rsid w:val="00332CE4"/>
    <w:rsid w:val="00333FDE"/>
    <w:rsid w:val="0033510B"/>
    <w:rsid w:val="00341271"/>
    <w:rsid w:val="003450A5"/>
    <w:rsid w:val="00351EC2"/>
    <w:rsid w:val="00357743"/>
    <w:rsid w:val="003602B6"/>
    <w:rsid w:val="003640D0"/>
    <w:rsid w:val="00366DAA"/>
    <w:rsid w:val="00375151"/>
    <w:rsid w:val="00375BF2"/>
    <w:rsid w:val="0037687E"/>
    <w:rsid w:val="0039199E"/>
    <w:rsid w:val="003964E7"/>
    <w:rsid w:val="003A08F3"/>
    <w:rsid w:val="003A2299"/>
    <w:rsid w:val="003A2A0D"/>
    <w:rsid w:val="003A3735"/>
    <w:rsid w:val="003A4D34"/>
    <w:rsid w:val="003A61AF"/>
    <w:rsid w:val="003A6F49"/>
    <w:rsid w:val="003C1A60"/>
    <w:rsid w:val="003C566F"/>
    <w:rsid w:val="003D09BC"/>
    <w:rsid w:val="003D1FFF"/>
    <w:rsid w:val="003D2AD1"/>
    <w:rsid w:val="003D3EF5"/>
    <w:rsid w:val="003D4E19"/>
    <w:rsid w:val="003D55C6"/>
    <w:rsid w:val="003D7B1C"/>
    <w:rsid w:val="003E1544"/>
    <w:rsid w:val="003E1E83"/>
    <w:rsid w:val="003E41BF"/>
    <w:rsid w:val="003E430F"/>
    <w:rsid w:val="003E786E"/>
    <w:rsid w:val="003E7B43"/>
    <w:rsid w:val="003F1137"/>
    <w:rsid w:val="003F3F4A"/>
    <w:rsid w:val="00412672"/>
    <w:rsid w:val="00415B8E"/>
    <w:rsid w:val="00417A87"/>
    <w:rsid w:val="00420038"/>
    <w:rsid w:val="00420B2C"/>
    <w:rsid w:val="00424B59"/>
    <w:rsid w:val="004275E5"/>
    <w:rsid w:val="00433CB1"/>
    <w:rsid w:val="00435771"/>
    <w:rsid w:val="00437609"/>
    <w:rsid w:val="0044178B"/>
    <w:rsid w:val="0044348E"/>
    <w:rsid w:val="00453720"/>
    <w:rsid w:val="00457BB3"/>
    <w:rsid w:val="00462896"/>
    <w:rsid w:val="00466D2C"/>
    <w:rsid w:val="00473FBB"/>
    <w:rsid w:val="00474723"/>
    <w:rsid w:val="004747AA"/>
    <w:rsid w:val="00476168"/>
    <w:rsid w:val="00484EB6"/>
    <w:rsid w:val="00485EB2"/>
    <w:rsid w:val="00486888"/>
    <w:rsid w:val="00493022"/>
    <w:rsid w:val="00497AEA"/>
    <w:rsid w:val="004A32A4"/>
    <w:rsid w:val="004A552B"/>
    <w:rsid w:val="004A6AD6"/>
    <w:rsid w:val="004C2F0D"/>
    <w:rsid w:val="004C4342"/>
    <w:rsid w:val="004C543D"/>
    <w:rsid w:val="004C6D37"/>
    <w:rsid w:val="004D3B7E"/>
    <w:rsid w:val="004D4547"/>
    <w:rsid w:val="004E0BD7"/>
    <w:rsid w:val="004F1296"/>
    <w:rsid w:val="004F23B4"/>
    <w:rsid w:val="00500C34"/>
    <w:rsid w:val="00510084"/>
    <w:rsid w:val="00516BE8"/>
    <w:rsid w:val="0052253A"/>
    <w:rsid w:val="00533059"/>
    <w:rsid w:val="005330DC"/>
    <w:rsid w:val="00546FF3"/>
    <w:rsid w:val="005501E3"/>
    <w:rsid w:val="00555D61"/>
    <w:rsid w:val="005568CE"/>
    <w:rsid w:val="00564A3C"/>
    <w:rsid w:val="005652FA"/>
    <w:rsid w:val="0056549F"/>
    <w:rsid w:val="005675FF"/>
    <w:rsid w:val="00570450"/>
    <w:rsid w:val="00576354"/>
    <w:rsid w:val="005772CB"/>
    <w:rsid w:val="00580637"/>
    <w:rsid w:val="00581561"/>
    <w:rsid w:val="00585C4B"/>
    <w:rsid w:val="0059591C"/>
    <w:rsid w:val="00596A36"/>
    <w:rsid w:val="00597B06"/>
    <w:rsid w:val="005A0EA3"/>
    <w:rsid w:val="005A4038"/>
    <w:rsid w:val="005A5B4D"/>
    <w:rsid w:val="005B5D97"/>
    <w:rsid w:val="005C23EC"/>
    <w:rsid w:val="005C326F"/>
    <w:rsid w:val="005C53F2"/>
    <w:rsid w:val="005D143D"/>
    <w:rsid w:val="005D4BD5"/>
    <w:rsid w:val="005D5170"/>
    <w:rsid w:val="005D6D9B"/>
    <w:rsid w:val="005D7E35"/>
    <w:rsid w:val="005E1050"/>
    <w:rsid w:val="005E25D6"/>
    <w:rsid w:val="005E52C0"/>
    <w:rsid w:val="0060157C"/>
    <w:rsid w:val="006024E9"/>
    <w:rsid w:val="006047BB"/>
    <w:rsid w:val="00605D4F"/>
    <w:rsid w:val="00610414"/>
    <w:rsid w:val="00611E3A"/>
    <w:rsid w:val="006228E6"/>
    <w:rsid w:val="00631242"/>
    <w:rsid w:val="00633C60"/>
    <w:rsid w:val="00634658"/>
    <w:rsid w:val="00634F0A"/>
    <w:rsid w:val="00635527"/>
    <w:rsid w:val="00636223"/>
    <w:rsid w:val="006373ED"/>
    <w:rsid w:val="00637E13"/>
    <w:rsid w:val="006400F1"/>
    <w:rsid w:val="00644C16"/>
    <w:rsid w:val="00653A57"/>
    <w:rsid w:val="00657A1C"/>
    <w:rsid w:val="00660DBC"/>
    <w:rsid w:val="0066550C"/>
    <w:rsid w:val="00667B35"/>
    <w:rsid w:val="00672C69"/>
    <w:rsid w:val="006761CD"/>
    <w:rsid w:val="00682898"/>
    <w:rsid w:val="00687F5D"/>
    <w:rsid w:val="006911DB"/>
    <w:rsid w:val="006921B5"/>
    <w:rsid w:val="006A6D4F"/>
    <w:rsid w:val="006B290C"/>
    <w:rsid w:val="006B4E6A"/>
    <w:rsid w:val="006B7D64"/>
    <w:rsid w:val="006C39C8"/>
    <w:rsid w:val="006C6236"/>
    <w:rsid w:val="006C6AF3"/>
    <w:rsid w:val="006C7AC0"/>
    <w:rsid w:val="006D56D9"/>
    <w:rsid w:val="006D5BAB"/>
    <w:rsid w:val="006D6423"/>
    <w:rsid w:val="006E667A"/>
    <w:rsid w:val="006E66D5"/>
    <w:rsid w:val="006E6F9A"/>
    <w:rsid w:val="006F1FEA"/>
    <w:rsid w:val="006F328A"/>
    <w:rsid w:val="006F40A2"/>
    <w:rsid w:val="00701369"/>
    <w:rsid w:val="007023AA"/>
    <w:rsid w:val="00702F9B"/>
    <w:rsid w:val="0070416F"/>
    <w:rsid w:val="0070461E"/>
    <w:rsid w:val="007063EB"/>
    <w:rsid w:val="0071002B"/>
    <w:rsid w:val="00713E29"/>
    <w:rsid w:val="0071709E"/>
    <w:rsid w:val="007217A9"/>
    <w:rsid w:val="00723F0F"/>
    <w:rsid w:val="00724B01"/>
    <w:rsid w:val="00727B4B"/>
    <w:rsid w:val="00740BB4"/>
    <w:rsid w:val="00741646"/>
    <w:rsid w:val="00742DB8"/>
    <w:rsid w:val="0074583D"/>
    <w:rsid w:val="007466E6"/>
    <w:rsid w:val="00750CDF"/>
    <w:rsid w:val="007563F3"/>
    <w:rsid w:val="00762D49"/>
    <w:rsid w:val="00762E8C"/>
    <w:rsid w:val="0076358D"/>
    <w:rsid w:val="00770D5A"/>
    <w:rsid w:val="00771B7E"/>
    <w:rsid w:val="0078764C"/>
    <w:rsid w:val="00791178"/>
    <w:rsid w:val="007921DB"/>
    <w:rsid w:val="00792E67"/>
    <w:rsid w:val="007935F6"/>
    <w:rsid w:val="007940A9"/>
    <w:rsid w:val="007A145B"/>
    <w:rsid w:val="007A252A"/>
    <w:rsid w:val="007A4BDF"/>
    <w:rsid w:val="007A5A0C"/>
    <w:rsid w:val="007A6ADB"/>
    <w:rsid w:val="007A772B"/>
    <w:rsid w:val="007B0D41"/>
    <w:rsid w:val="007B4D56"/>
    <w:rsid w:val="007B530C"/>
    <w:rsid w:val="007B6477"/>
    <w:rsid w:val="007C1225"/>
    <w:rsid w:val="007C2072"/>
    <w:rsid w:val="007C35F3"/>
    <w:rsid w:val="007C4C9C"/>
    <w:rsid w:val="007C5F9E"/>
    <w:rsid w:val="007C61D1"/>
    <w:rsid w:val="007D3331"/>
    <w:rsid w:val="007E1E5D"/>
    <w:rsid w:val="007F1107"/>
    <w:rsid w:val="007F477C"/>
    <w:rsid w:val="007F5C81"/>
    <w:rsid w:val="007F6D80"/>
    <w:rsid w:val="008028C9"/>
    <w:rsid w:val="00806ABF"/>
    <w:rsid w:val="008122D1"/>
    <w:rsid w:val="0081720A"/>
    <w:rsid w:val="00822B15"/>
    <w:rsid w:val="00822B52"/>
    <w:rsid w:val="0082743F"/>
    <w:rsid w:val="008278F1"/>
    <w:rsid w:val="008308ED"/>
    <w:rsid w:val="00832152"/>
    <w:rsid w:val="00842663"/>
    <w:rsid w:val="00845897"/>
    <w:rsid w:val="0084655E"/>
    <w:rsid w:val="008518C1"/>
    <w:rsid w:val="008537AB"/>
    <w:rsid w:val="00860FFD"/>
    <w:rsid w:val="00871931"/>
    <w:rsid w:val="008730EF"/>
    <w:rsid w:val="008732E4"/>
    <w:rsid w:val="008749DA"/>
    <w:rsid w:val="00877CD9"/>
    <w:rsid w:val="00881E15"/>
    <w:rsid w:val="00885704"/>
    <w:rsid w:val="00891FB2"/>
    <w:rsid w:val="00895856"/>
    <w:rsid w:val="008A3527"/>
    <w:rsid w:val="008A4424"/>
    <w:rsid w:val="008B3E36"/>
    <w:rsid w:val="008B54DF"/>
    <w:rsid w:val="008C001D"/>
    <w:rsid w:val="008C11BF"/>
    <w:rsid w:val="008C2F7D"/>
    <w:rsid w:val="008C33B0"/>
    <w:rsid w:val="008D1826"/>
    <w:rsid w:val="008D5CEC"/>
    <w:rsid w:val="008D689A"/>
    <w:rsid w:val="008D7B0E"/>
    <w:rsid w:val="008E09E3"/>
    <w:rsid w:val="008E1529"/>
    <w:rsid w:val="008F2E37"/>
    <w:rsid w:val="008F42BD"/>
    <w:rsid w:val="008F7FBB"/>
    <w:rsid w:val="00901EC6"/>
    <w:rsid w:val="009024B9"/>
    <w:rsid w:val="00904000"/>
    <w:rsid w:val="00906227"/>
    <w:rsid w:val="00907EA1"/>
    <w:rsid w:val="009109C8"/>
    <w:rsid w:val="00910F28"/>
    <w:rsid w:val="00913704"/>
    <w:rsid w:val="00914D11"/>
    <w:rsid w:val="0092038E"/>
    <w:rsid w:val="00920AD8"/>
    <w:rsid w:val="00924031"/>
    <w:rsid w:val="00925AFC"/>
    <w:rsid w:val="009320BB"/>
    <w:rsid w:val="00936807"/>
    <w:rsid w:val="00943267"/>
    <w:rsid w:val="00943F3C"/>
    <w:rsid w:val="0095141D"/>
    <w:rsid w:val="00951EA4"/>
    <w:rsid w:val="009553CA"/>
    <w:rsid w:val="00961CBF"/>
    <w:rsid w:val="00965487"/>
    <w:rsid w:val="00973D6F"/>
    <w:rsid w:val="00982E00"/>
    <w:rsid w:val="00983648"/>
    <w:rsid w:val="00984198"/>
    <w:rsid w:val="00985236"/>
    <w:rsid w:val="00990DAF"/>
    <w:rsid w:val="00996FAA"/>
    <w:rsid w:val="009B572B"/>
    <w:rsid w:val="009B7736"/>
    <w:rsid w:val="009D12C6"/>
    <w:rsid w:val="009D4E65"/>
    <w:rsid w:val="009E08E8"/>
    <w:rsid w:val="009E58B4"/>
    <w:rsid w:val="009E658A"/>
    <w:rsid w:val="009E6C59"/>
    <w:rsid w:val="009F51C1"/>
    <w:rsid w:val="00A04321"/>
    <w:rsid w:val="00A111D4"/>
    <w:rsid w:val="00A12984"/>
    <w:rsid w:val="00A16F18"/>
    <w:rsid w:val="00A24D04"/>
    <w:rsid w:val="00A27AC9"/>
    <w:rsid w:val="00A32F63"/>
    <w:rsid w:val="00A354E8"/>
    <w:rsid w:val="00A35C6D"/>
    <w:rsid w:val="00A419CA"/>
    <w:rsid w:val="00A5297E"/>
    <w:rsid w:val="00A57875"/>
    <w:rsid w:val="00A66394"/>
    <w:rsid w:val="00A73C51"/>
    <w:rsid w:val="00A74C26"/>
    <w:rsid w:val="00A77E12"/>
    <w:rsid w:val="00A8188B"/>
    <w:rsid w:val="00A85990"/>
    <w:rsid w:val="00A87370"/>
    <w:rsid w:val="00A91226"/>
    <w:rsid w:val="00AB468A"/>
    <w:rsid w:val="00AB4998"/>
    <w:rsid w:val="00AB73E4"/>
    <w:rsid w:val="00AC5590"/>
    <w:rsid w:val="00AD0A4D"/>
    <w:rsid w:val="00AD2EB2"/>
    <w:rsid w:val="00AD5A6C"/>
    <w:rsid w:val="00AD5FAB"/>
    <w:rsid w:val="00AD60D2"/>
    <w:rsid w:val="00AE4289"/>
    <w:rsid w:val="00AE4637"/>
    <w:rsid w:val="00AE6A30"/>
    <w:rsid w:val="00AF39FE"/>
    <w:rsid w:val="00AF5FA2"/>
    <w:rsid w:val="00B00B64"/>
    <w:rsid w:val="00B01CF3"/>
    <w:rsid w:val="00B02A8D"/>
    <w:rsid w:val="00B02C70"/>
    <w:rsid w:val="00B0762F"/>
    <w:rsid w:val="00B1138B"/>
    <w:rsid w:val="00B14594"/>
    <w:rsid w:val="00B25239"/>
    <w:rsid w:val="00B32562"/>
    <w:rsid w:val="00B3628C"/>
    <w:rsid w:val="00B37228"/>
    <w:rsid w:val="00B40280"/>
    <w:rsid w:val="00B532EE"/>
    <w:rsid w:val="00B53A69"/>
    <w:rsid w:val="00B55DB3"/>
    <w:rsid w:val="00B61624"/>
    <w:rsid w:val="00B61765"/>
    <w:rsid w:val="00B80221"/>
    <w:rsid w:val="00B80D3F"/>
    <w:rsid w:val="00B86D52"/>
    <w:rsid w:val="00B87CA2"/>
    <w:rsid w:val="00B90239"/>
    <w:rsid w:val="00B93382"/>
    <w:rsid w:val="00B942DE"/>
    <w:rsid w:val="00B965AD"/>
    <w:rsid w:val="00BA441B"/>
    <w:rsid w:val="00BA7949"/>
    <w:rsid w:val="00BB1F1E"/>
    <w:rsid w:val="00BB44AE"/>
    <w:rsid w:val="00BB60FD"/>
    <w:rsid w:val="00BC0F1D"/>
    <w:rsid w:val="00BC3611"/>
    <w:rsid w:val="00BD0972"/>
    <w:rsid w:val="00BE2549"/>
    <w:rsid w:val="00BE42E6"/>
    <w:rsid w:val="00BE5703"/>
    <w:rsid w:val="00BE7852"/>
    <w:rsid w:val="00BF568E"/>
    <w:rsid w:val="00BF5C79"/>
    <w:rsid w:val="00BF63CD"/>
    <w:rsid w:val="00C06EC2"/>
    <w:rsid w:val="00C30E73"/>
    <w:rsid w:val="00C31B89"/>
    <w:rsid w:val="00C31BD2"/>
    <w:rsid w:val="00C35253"/>
    <w:rsid w:val="00C35A2B"/>
    <w:rsid w:val="00C523BA"/>
    <w:rsid w:val="00C603E3"/>
    <w:rsid w:val="00C6532C"/>
    <w:rsid w:val="00C743C7"/>
    <w:rsid w:val="00C74DA3"/>
    <w:rsid w:val="00C76764"/>
    <w:rsid w:val="00C80E43"/>
    <w:rsid w:val="00C840B5"/>
    <w:rsid w:val="00C87511"/>
    <w:rsid w:val="00C90D0C"/>
    <w:rsid w:val="00CA6F37"/>
    <w:rsid w:val="00CA7CB8"/>
    <w:rsid w:val="00CB072F"/>
    <w:rsid w:val="00CB0ACC"/>
    <w:rsid w:val="00CB2364"/>
    <w:rsid w:val="00CB2DBA"/>
    <w:rsid w:val="00CB3595"/>
    <w:rsid w:val="00CB7617"/>
    <w:rsid w:val="00CC68C0"/>
    <w:rsid w:val="00CD2836"/>
    <w:rsid w:val="00CD52B6"/>
    <w:rsid w:val="00CE655D"/>
    <w:rsid w:val="00D0733D"/>
    <w:rsid w:val="00D107B7"/>
    <w:rsid w:val="00D32154"/>
    <w:rsid w:val="00D32F20"/>
    <w:rsid w:val="00D33EDE"/>
    <w:rsid w:val="00D34C93"/>
    <w:rsid w:val="00D34EF3"/>
    <w:rsid w:val="00D35882"/>
    <w:rsid w:val="00D36F98"/>
    <w:rsid w:val="00D375DC"/>
    <w:rsid w:val="00D50519"/>
    <w:rsid w:val="00D51A8F"/>
    <w:rsid w:val="00D55309"/>
    <w:rsid w:val="00D5785B"/>
    <w:rsid w:val="00D6080B"/>
    <w:rsid w:val="00D611D2"/>
    <w:rsid w:val="00D61432"/>
    <w:rsid w:val="00D61901"/>
    <w:rsid w:val="00D66FC3"/>
    <w:rsid w:val="00D7090C"/>
    <w:rsid w:val="00D73C65"/>
    <w:rsid w:val="00D75084"/>
    <w:rsid w:val="00D82000"/>
    <w:rsid w:val="00D83551"/>
    <w:rsid w:val="00D914F4"/>
    <w:rsid w:val="00DA2C5B"/>
    <w:rsid w:val="00DA3C4F"/>
    <w:rsid w:val="00DA7AB8"/>
    <w:rsid w:val="00DB6E1C"/>
    <w:rsid w:val="00DB7A7F"/>
    <w:rsid w:val="00DC36B8"/>
    <w:rsid w:val="00DC489F"/>
    <w:rsid w:val="00DC64A4"/>
    <w:rsid w:val="00DD0DFF"/>
    <w:rsid w:val="00DD138B"/>
    <w:rsid w:val="00DD4AF5"/>
    <w:rsid w:val="00DE1167"/>
    <w:rsid w:val="00DE7B41"/>
    <w:rsid w:val="00DF0E6C"/>
    <w:rsid w:val="00DF52EE"/>
    <w:rsid w:val="00E07E23"/>
    <w:rsid w:val="00E112F1"/>
    <w:rsid w:val="00E25156"/>
    <w:rsid w:val="00E26A6E"/>
    <w:rsid w:val="00E4083A"/>
    <w:rsid w:val="00E42DE1"/>
    <w:rsid w:val="00E4764F"/>
    <w:rsid w:val="00E50448"/>
    <w:rsid w:val="00E52159"/>
    <w:rsid w:val="00E52AB4"/>
    <w:rsid w:val="00E551EA"/>
    <w:rsid w:val="00E55EC5"/>
    <w:rsid w:val="00E570F2"/>
    <w:rsid w:val="00E70F25"/>
    <w:rsid w:val="00E71E13"/>
    <w:rsid w:val="00E72950"/>
    <w:rsid w:val="00E7718F"/>
    <w:rsid w:val="00E834E2"/>
    <w:rsid w:val="00E85F82"/>
    <w:rsid w:val="00EA2107"/>
    <w:rsid w:val="00EB1059"/>
    <w:rsid w:val="00EC2C88"/>
    <w:rsid w:val="00ED35BD"/>
    <w:rsid w:val="00ED70B2"/>
    <w:rsid w:val="00ED7553"/>
    <w:rsid w:val="00EE1226"/>
    <w:rsid w:val="00EE5A4A"/>
    <w:rsid w:val="00EF03B7"/>
    <w:rsid w:val="00EF3879"/>
    <w:rsid w:val="00EF7F6C"/>
    <w:rsid w:val="00F0182E"/>
    <w:rsid w:val="00F1346C"/>
    <w:rsid w:val="00F14E24"/>
    <w:rsid w:val="00F15860"/>
    <w:rsid w:val="00F17F3F"/>
    <w:rsid w:val="00F2091F"/>
    <w:rsid w:val="00F20A58"/>
    <w:rsid w:val="00F21A6D"/>
    <w:rsid w:val="00F2452E"/>
    <w:rsid w:val="00F26907"/>
    <w:rsid w:val="00F27BDA"/>
    <w:rsid w:val="00F34197"/>
    <w:rsid w:val="00F41A02"/>
    <w:rsid w:val="00F42691"/>
    <w:rsid w:val="00F4330A"/>
    <w:rsid w:val="00F46473"/>
    <w:rsid w:val="00F5168F"/>
    <w:rsid w:val="00F51DE1"/>
    <w:rsid w:val="00F6298D"/>
    <w:rsid w:val="00F63D1C"/>
    <w:rsid w:val="00F659F6"/>
    <w:rsid w:val="00F67007"/>
    <w:rsid w:val="00F672B8"/>
    <w:rsid w:val="00F75512"/>
    <w:rsid w:val="00F779E1"/>
    <w:rsid w:val="00F96246"/>
    <w:rsid w:val="00FB55F8"/>
    <w:rsid w:val="00FB76B0"/>
    <w:rsid w:val="00FC354B"/>
    <w:rsid w:val="00FC5645"/>
    <w:rsid w:val="00FC726F"/>
    <w:rsid w:val="00FD2F8D"/>
    <w:rsid w:val="00FD3519"/>
    <w:rsid w:val="00FD56C4"/>
    <w:rsid w:val="00FD5D5A"/>
    <w:rsid w:val="00FE0944"/>
    <w:rsid w:val="00FE2E6F"/>
    <w:rsid w:val="00FE3135"/>
    <w:rsid w:val="00FE743E"/>
    <w:rsid w:val="00FE74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BD155"/>
  <w15:docId w15:val="{904F45E1-D71B-40A0-9D5C-B7FEE2D0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uiPriority w:val="99"/>
    <w:qFormat/>
    <w:rsid w:val="00877CD9"/>
    <w:pPr>
      <w:keepNext/>
      <w:spacing w:line="480" w:lineRule="auto"/>
      <w:outlineLvl w:val="0"/>
    </w:pPr>
    <w:rPr>
      <w:b/>
      <w:sz w:val="24"/>
      <w:szCs w:val="24"/>
    </w:rPr>
  </w:style>
  <w:style w:type="paragraph" w:styleId="Ttulo2">
    <w:name w:val="heading 2"/>
    <w:basedOn w:val="Normal"/>
    <w:next w:val="Normal"/>
    <w:link w:val="Ttulo2Car"/>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B32562"/>
    <w:pPr>
      <w:keepNext/>
      <w:overflowPunct/>
      <w:autoSpaceDE/>
      <w:autoSpaceDN/>
      <w:adjustRightInd/>
      <w:spacing w:before="240" w:after="60" w:line="276" w:lineRule="auto"/>
      <w:ind w:left="864" w:hanging="864"/>
      <w:outlineLvl w:val="3"/>
    </w:pPr>
    <w:rPr>
      <w:rFonts w:ascii="Calibri" w:hAnsi="Calibri"/>
      <w:b/>
      <w:bCs/>
      <w:sz w:val="28"/>
      <w:szCs w:val="28"/>
    </w:rPr>
  </w:style>
  <w:style w:type="paragraph" w:styleId="Ttulo5">
    <w:name w:val="heading 5"/>
    <w:basedOn w:val="Normal"/>
    <w:next w:val="Normal"/>
    <w:link w:val="Ttulo5Car"/>
    <w:semiHidden/>
    <w:unhideWhenUsed/>
    <w:qFormat/>
    <w:rsid w:val="00B32562"/>
    <w:pPr>
      <w:overflowPunct/>
      <w:autoSpaceDE/>
      <w:autoSpaceDN/>
      <w:adjustRightInd/>
      <w:spacing w:before="240" w:after="60" w:line="276" w:lineRule="auto"/>
      <w:ind w:left="1008" w:hanging="1008"/>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B32562"/>
    <w:pPr>
      <w:overflowPunct/>
      <w:autoSpaceDE/>
      <w:autoSpaceDN/>
      <w:adjustRightInd/>
      <w:spacing w:before="240" w:after="60" w:line="276" w:lineRule="auto"/>
      <w:ind w:left="1152" w:hanging="1152"/>
      <w:outlineLvl w:val="5"/>
    </w:pPr>
    <w:rPr>
      <w:rFonts w:ascii="Calibri" w:hAnsi="Calibri"/>
      <w:b/>
      <w:bCs/>
      <w:sz w:val="22"/>
      <w:szCs w:val="22"/>
    </w:rPr>
  </w:style>
  <w:style w:type="paragraph" w:styleId="Ttulo7">
    <w:name w:val="heading 7"/>
    <w:basedOn w:val="Normal"/>
    <w:next w:val="Normal"/>
    <w:link w:val="Ttulo7Car"/>
    <w:semiHidden/>
    <w:unhideWhenUsed/>
    <w:qFormat/>
    <w:rsid w:val="00B32562"/>
    <w:pPr>
      <w:overflowPunct/>
      <w:autoSpaceDE/>
      <w:autoSpaceDN/>
      <w:adjustRightInd/>
      <w:spacing w:before="240" w:after="60" w:line="276" w:lineRule="auto"/>
      <w:ind w:left="1296" w:hanging="1296"/>
      <w:outlineLvl w:val="6"/>
    </w:pPr>
    <w:rPr>
      <w:rFonts w:ascii="Calibri" w:hAnsi="Calibri"/>
      <w:sz w:val="24"/>
      <w:szCs w:val="24"/>
    </w:rPr>
  </w:style>
  <w:style w:type="paragraph" w:styleId="Ttulo8">
    <w:name w:val="heading 8"/>
    <w:basedOn w:val="Normal"/>
    <w:next w:val="Normal"/>
    <w:link w:val="Ttulo8Car"/>
    <w:semiHidden/>
    <w:unhideWhenUsed/>
    <w:qFormat/>
    <w:rsid w:val="00B32562"/>
    <w:pPr>
      <w:overflowPunct/>
      <w:autoSpaceDE/>
      <w:autoSpaceDN/>
      <w:adjustRightInd/>
      <w:spacing w:before="240" w:after="60" w:line="276" w:lineRule="auto"/>
      <w:ind w:left="1440" w:hanging="1440"/>
      <w:outlineLvl w:val="7"/>
    </w:pPr>
    <w:rPr>
      <w:rFonts w:ascii="Calibri" w:hAnsi="Calibri"/>
      <w:i/>
      <w:iCs/>
      <w:sz w:val="24"/>
      <w:szCs w:val="24"/>
    </w:rPr>
  </w:style>
  <w:style w:type="paragraph" w:styleId="Ttulo9">
    <w:name w:val="heading 9"/>
    <w:basedOn w:val="Normal"/>
    <w:next w:val="Normal"/>
    <w:link w:val="Ttulo9Car"/>
    <w:semiHidden/>
    <w:unhideWhenUsed/>
    <w:qFormat/>
    <w:rsid w:val="00B32562"/>
    <w:pPr>
      <w:overflowPunct/>
      <w:autoSpaceDE/>
      <w:autoSpaceDN/>
      <w:adjustRightInd/>
      <w:spacing w:before="240" w:after="60" w:line="276" w:lineRule="auto"/>
      <w:ind w:left="1584" w:hanging="1584"/>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3628C"/>
    <w:pPr>
      <w:tabs>
        <w:tab w:val="center" w:pos="4419"/>
        <w:tab w:val="right" w:pos="8838"/>
      </w:tabs>
    </w:pPr>
  </w:style>
  <w:style w:type="character" w:customStyle="1" w:styleId="EncabezadoCar">
    <w:name w:val="Encabezado Car"/>
    <w:basedOn w:val="Fuentedeprrafopredeter"/>
    <w:link w:val="Encabezado"/>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uiPriority w:val="99"/>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Puesto">
    <w:name w:val="Title"/>
    <w:basedOn w:val="Normal1"/>
    <w:next w:val="Normal1"/>
    <w:link w:val="PuestoCar"/>
    <w:rsid w:val="00877CD9"/>
    <w:pPr>
      <w:spacing w:before="240" w:after="60"/>
    </w:pPr>
    <w:rPr>
      <w:b/>
      <w:sz w:val="32"/>
      <w:szCs w:val="32"/>
    </w:rPr>
  </w:style>
  <w:style w:type="character" w:customStyle="1" w:styleId="PuestoCar">
    <w:name w:val="Puesto Car"/>
    <w:basedOn w:val="Fuentedeprrafopredeter"/>
    <w:link w:val="Puest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0D5226"/>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paragraph" w:customStyle="1" w:styleId="Default">
    <w:name w:val="Default"/>
    <w:rsid w:val="00E570F2"/>
    <w:pPr>
      <w:autoSpaceDE w:val="0"/>
      <w:autoSpaceDN w:val="0"/>
      <w:adjustRightInd w:val="0"/>
    </w:pPr>
    <w:rPr>
      <w:rFonts w:ascii="Arial" w:hAnsi="Arial" w:cs="Arial"/>
      <w:color w:val="000000"/>
      <w:sz w:val="24"/>
      <w:szCs w:val="24"/>
    </w:rPr>
  </w:style>
  <w:style w:type="character" w:customStyle="1" w:styleId="TextonotapieCar">
    <w:name w:val="Texto nota pie Car"/>
    <w:aliases w:val="Car1 Car,Car2 Car,ft Car,texto de nota al pie Car,FA Fu Car,Footnote Text Char Char Char Char Char Car,Footnote Text Char Char Char Char Car,Footnote reference Car,Footnote Text Char Char Char Car,Texto nota pie Car Car Car,Car Car"/>
    <w:basedOn w:val="Fuentedeprrafopredeter"/>
    <w:link w:val="Textonotapie"/>
    <w:uiPriority w:val="99"/>
    <w:locked/>
    <w:rsid w:val="007935F6"/>
    <w:rPr>
      <w:rFonts w:ascii="Arial" w:hAnsi="Arial" w:cs="Arial"/>
      <w:lang w:val="es-ES_tradnl" w:eastAsia="ar-SA"/>
    </w:rPr>
  </w:style>
  <w:style w:type="paragraph" w:styleId="Textonotapie">
    <w:name w:val="footnote text"/>
    <w:aliases w:val="Car1,Car2,ft,texto de nota al pie,FA Fu,Footnote Text Char Char Char Char Char,Footnote Text Char Char Char Char,Footnote reference,Footnote Text Char Char Char,Texto nota pie Car Car,Footnote Text Char,Car"/>
    <w:basedOn w:val="Normal"/>
    <w:link w:val="TextonotapieCar"/>
    <w:uiPriority w:val="99"/>
    <w:unhideWhenUsed/>
    <w:rsid w:val="007935F6"/>
    <w:pPr>
      <w:suppressAutoHyphens/>
      <w:overflowPunct/>
      <w:autoSpaceDE/>
      <w:autoSpaceDN/>
      <w:adjustRightInd/>
      <w:jc w:val="both"/>
    </w:pPr>
    <w:rPr>
      <w:rFonts w:ascii="Arial" w:eastAsia="Calibri" w:hAnsi="Arial" w:cs="Arial"/>
      <w:lang w:eastAsia="ar-SA"/>
    </w:rPr>
  </w:style>
  <w:style w:type="character" w:customStyle="1" w:styleId="TextonotapieCar1">
    <w:name w:val="Texto nota pie Car1"/>
    <w:basedOn w:val="Fuentedeprrafopredeter"/>
    <w:uiPriority w:val="99"/>
    <w:rsid w:val="007935F6"/>
    <w:rPr>
      <w:rFonts w:ascii="Times New Roman" w:eastAsia="Times New Roman" w:hAnsi="Times New Roman"/>
      <w:lang w:val="es-ES_tradnl"/>
    </w:rPr>
  </w:style>
  <w:style w:type="character" w:styleId="Refdenotaalpie">
    <w:name w:val="footnote reference"/>
    <w:aliases w:val="referencia nota al pie,Ref,de nota al pie,Ref. de nota al pie2,Nota de pie,Texto de nota al pie,normal,Char Char,Ref. de nota al pie.,FA Fu Char2,Char Char1,fn Char,single space Char,Footnote Text Char Char Char Char Char Char2"/>
    <w:uiPriority w:val="99"/>
    <w:unhideWhenUsed/>
    <w:rsid w:val="007935F6"/>
    <w:rPr>
      <w:rFonts w:ascii="Times New Roman" w:hAnsi="Times New Roman" w:cs="Times New Roman" w:hint="default"/>
      <w:vertAlign w:val="superscript"/>
    </w:rPr>
  </w:style>
  <w:style w:type="character" w:customStyle="1" w:styleId="PrrafodelistaCar">
    <w:name w:val="Párrafo de lista Car"/>
    <w:aliases w:val="Párrafo de lista en tabla de sistematización Car,List Paragraph Car"/>
    <w:link w:val="Prrafodelista"/>
    <w:uiPriority w:val="34"/>
    <w:locked/>
    <w:rsid w:val="00112503"/>
    <w:rPr>
      <w:rFonts w:asciiTheme="minorHAnsi" w:eastAsiaTheme="minorHAnsi" w:hAnsiTheme="minorHAnsi" w:cstheme="minorBidi"/>
      <w:sz w:val="22"/>
      <w:szCs w:val="22"/>
      <w:lang w:eastAsia="en-US"/>
    </w:rPr>
  </w:style>
  <w:style w:type="paragraph" w:customStyle="1" w:styleId="Prrafodelista1">
    <w:name w:val="Párrafo de lista1"/>
    <w:basedOn w:val="Normal"/>
    <w:rsid w:val="00F41A02"/>
    <w:pPr>
      <w:suppressAutoHyphens/>
      <w:overflowPunct/>
      <w:autoSpaceDE/>
      <w:autoSpaceDN/>
      <w:adjustRightInd/>
      <w:ind w:left="708"/>
    </w:pPr>
    <w:rPr>
      <w:sz w:val="24"/>
      <w:szCs w:val="24"/>
      <w:lang w:val="es-ES" w:eastAsia="zh-CN"/>
    </w:rPr>
  </w:style>
  <w:style w:type="character" w:styleId="Refdecomentario">
    <w:name w:val="annotation reference"/>
    <w:uiPriority w:val="99"/>
    <w:semiHidden/>
    <w:unhideWhenUsed/>
    <w:rsid w:val="007B4D56"/>
    <w:rPr>
      <w:sz w:val="16"/>
      <w:szCs w:val="16"/>
    </w:rPr>
  </w:style>
  <w:style w:type="paragraph" w:styleId="Textocomentario">
    <w:name w:val="annotation text"/>
    <w:basedOn w:val="Normal"/>
    <w:link w:val="TextocomentarioCar"/>
    <w:uiPriority w:val="99"/>
    <w:semiHidden/>
    <w:unhideWhenUsed/>
    <w:rsid w:val="007B4D56"/>
    <w:pPr>
      <w:overflowPunct/>
      <w:autoSpaceDE/>
      <w:autoSpaceDN/>
      <w:adjustRightInd/>
    </w:pPr>
    <w:rPr>
      <w:lang w:val="es-ES" w:eastAsia="es-ES"/>
    </w:rPr>
  </w:style>
  <w:style w:type="character" w:customStyle="1" w:styleId="TextocomentarioCar">
    <w:name w:val="Texto comentario Car"/>
    <w:basedOn w:val="Fuentedeprrafopredeter"/>
    <w:link w:val="Textocomentario"/>
    <w:uiPriority w:val="99"/>
    <w:semiHidden/>
    <w:rsid w:val="007B4D56"/>
    <w:rPr>
      <w:rFonts w:ascii="Times New Roman" w:eastAsia="Times New Roman" w:hAnsi="Times New Roman"/>
      <w:lang w:val="es-ES" w:eastAsia="es-ES"/>
    </w:rPr>
  </w:style>
  <w:style w:type="character" w:customStyle="1" w:styleId="Ttulo4Car">
    <w:name w:val="Título 4 Car"/>
    <w:basedOn w:val="Fuentedeprrafopredeter"/>
    <w:link w:val="Ttulo4"/>
    <w:semiHidden/>
    <w:rsid w:val="00B32562"/>
    <w:rPr>
      <w:rFonts w:eastAsia="Times New Roman"/>
      <w:b/>
      <w:bCs/>
      <w:sz w:val="28"/>
      <w:szCs w:val="28"/>
      <w:lang w:val="es-ES_tradnl"/>
    </w:rPr>
  </w:style>
  <w:style w:type="character" w:customStyle="1" w:styleId="Ttulo5Car">
    <w:name w:val="Título 5 Car"/>
    <w:basedOn w:val="Fuentedeprrafopredeter"/>
    <w:link w:val="Ttulo5"/>
    <w:semiHidden/>
    <w:rsid w:val="00B32562"/>
    <w:rPr>
      <w:rFonts w:eastAsia="Times New Roman"/>
      <w:b/>
      <w:bCs/>
      <w:i/>
      <w:iCs/>
      <w:sz w:val="26"/>
      <w:szCs w:val="26"/>
      <w:lang w:val="es-ES_tradnl"/>
    </w:rPr>
  </w:style>
  <w:style w:type="character" w:customStyle="1" w:styleId="Ttulo6Car">
    <w:name w:val="Título 6 Car"/>
    <w:basedOn w:val="Fuentedeprrafopredeter"/>
    <w:link w:val="Ttulo6"/>
    <w:semiHidden/>
    <w:rsid w:val="00B32562"/>
    <w:rPr>
      <w:rFonts w:eastAsia="Times New Roman"/>
      <w:b/>
      <w:bCs/>
      <w:sz w:val="22"/>
      <w:szCs w:val="22"/>
      <w:lang w:val="es-ES_tradnl"/>
    </w:rPr>
  </w:style>
  <w:style w:type="character" w:customStyle="1" w:styleId="Ttulo7Car">
    <w:name w:val="Título 7 Car"/>
    <w:basedOn w:val="Fuentedeprrafopredeter"/>
    <w:link w:val="Ttulo7"/>
    <w:semiHidden/>
    <w:rsid w:val="00B32562"/>
    <w:rPr>
      <w:rFonts w:eastAsia="Times New Roman"/>
      <w:sz w:val="24"/>
      <w:szCs w:val="24"/>
      <w:lang w:val="es-ES_tradnl"/>
    </w:rPr>
  </w:style>
  <w:style w:type="character" w:customStyle="1" w:styleId="Ttulo8Car">
    <w:name w:val="Título 8 Car"/>
    <w:basedOn w:val="Fuentedeprrafopredeter"/>
    <w:link w:val="Ttulo8"/>
    <w:semiHidden/>
    <w:rsid w:val="00B32562"/>
    <w:rPr>
      <w:rFonts w:eastAsia="Times New Roman"/>
      <w:i/>
      <w:iCs/>
      <w:sz w:val="24"/>
      <w:szCs w:val="24"/>
      <w:lang w:val="es-ES_tradnl"/>
    </w:rPr>
  </w:style>
  <w:style w:type="character" w:customStyle="1" w:styleId="Ttulo9Car">
    <w:name w:val="Título 9 Car"/>
    <w:basedOn w:val="Fuentedeprrafopredeter"/>
    <w:link w:val="Ttulo9"/>
    <w:semiHidden/>
    <w:rsid w:val="00B32562"/>
    <w:rPr>
      <w:rFonts w:ascii="Calibri Light" w:eastAsia="Times New Roman" w:hAnsi="Calibri Light"/>
      <w:sz w:val="22"/>
      <w:szCs w:val="22"/>
      <w:lang w:val="es-ES_tradnl"/>
    </w:rPr>
  </w:style>
  <w:style w:type="paragraph" w:styleId="TtulodeTDC">
    <w:name w:val="TOC Heading"/>
    <w:basedOn w:val="Ttulo1"/>
    <w:next w:val="Normal"/>
    <w:uiPriority w:val="39"/>
    <w:unhideWhenUsed/>
    <w:qFormat/>
    <w:rsid w:val="00B32562"/>
    <w:pPr>
      <w:keepLines/>
      <w:spacing w:before="240" w:line="259" w:lineRule="auto"/>
      <w:ind w:left="432" w:hanging="432"/>
      <w:contextualSpacing w:val="0"/>
      <w:jc w:val="left"/>
      <w:outlineLvl w:val="9"/>
    </w:pPr>
    <w:rPr>
      <w:rFonts w:ascii="Calibri Light" w:eastAsia="Times New Roman" w:hAnsi="Calibri Light" w:cs="Times New Roman"/>
      <w:b w:val="0"/>
      <w:color w:val="2E74B5"/>
      <w:sz w:val="32"/>
      <w:szCs w:val="32"/>
    </w:rPr>
  </w:style>
  <w:style w:type="paragraph" w:styleId="TDC2">
    <w:name w:val="toc 2"/>
    <w:basedOn w:val="Normal"/>
    <w:next w:val="Normal"/>
    <w:autoRedefine/>
    <w:uiPriority w:val="39"/>
    <w:unhideWhenUsed/>
    <w:rsid w:val="00CB0ACC"/>
    <w:pPr>
      <w:tabs>
        <w:tab w:val="left" w:pos="880"/>
        <w:tab w:val="right" w:leader="dot" w:pos="8828"/>
      </w:tabs>
      <w:overflowPunct/>
      <w:autoSpaceDE/>
      <w:autoSpaceDN/>
      <w:adjustRightInd/>
      <w:spacing w:after="100" w:line="259" w:lineRule="auto"/>
      <w:ind w:left="220"/>
    </w:pPr>
    <w:rPr>
      <w:rFonts w:ascii="Arial" w:hAnsi="Arial" w:cs="Arial"/>
      <w:iCs/>
      <w:noProof/>
      <w:sz w:val="22"/>
      <w:szCs w:val="22"/>
      <w:lang w:val="es-CO"/>
    </w:rPr>
  </w:style>
  <w:style w:type="paragraph" w:styleId="TDC1">
    <w:name w:val="toc 1"/>
    <w:basedOn w:val="Normal"/>
    <w:next w:val="Normal"/>
    <w:autoRedefine/>
    <w:uiPriority w:val="39"/>
    <w:unhideWhenUsed/>
    <w:rsid w:val="00FD2F8D"/>
    <w:pPr>
      <w:tabs>
        <w:tab w:val="left" w:pos="660"/>
        <w:tab w:val="right" w:leader="dot" w:pos="8828"/>
      </w:tabs>
      <w:overflowPunct/>
      <w:autoSpaceDE/>
      <w:autoSpaceDN/>
      <w:adjustRightInd/>
      <w:spacing w:after="100"/>
    </w:pPr>
    <w:rPr>
      <w:rFonts w:ascii="Arial" w:eastAsia="Arial" w:hAnsi="Arial" w:cs="Arial"/>
      <w:bCs/>
      <w:noProof/>
      <w:kern w:val="32"/>
      <w:sz w:val="22"/>
      <w:szCs w:val="22"/>
      <w:lang w:val="es-CO" w:eastAsia="es-ES"/>
    </w:rPr>
  </w:style>
  <w:style w:type="paragraph" w:styleId="Asuntodelcomentario">
    <w:name w:val="annotation subject"/>
    <w:basedOn w:val="Textocomentario"/>
    <w:next w:val="Textocomentario"/>
    <w:link w:val="AsuntodelcomentarioCar"/>
    <w:uiPriority w:val="99"/>
    <w:semiHidden/>
    <w:unhideWhenUsed/>
    <w:rsid w:val="00A27AC9"/>
    <w:pPr>
      <w:overflowPunct w:val="0"/>
      <w:autoSpaceDE w:val="0"/>
      <w:autoSpaceDN w:val="0"/>
      <w:adjustRightInd w:val="0"/>
    </w:pPr>
    <w:rPr>
      <w:b/>
      <w:bCs/>
      <w:lang w:val="es-ES_tradnl" w:eastAsia="es-CO"/>
    </w:rPr>
  </w:style>
  <w:style w:type="character" w:customStyle="1" w:styleId="AsuntodelcomentarioCar">
    <w:name w:val="Asunto del comentario Car"/>
    <w:basedOn w:val="TextocomentarioCar"/>
    <w:link w:val="Asuntodelcomentario"/>
    <w:uiPriority w:val="99"/>
    <w:semiHidden/>
    <w:rsid w:val="00A27AC9"/>
    <w:rPr>
      <w:rFonts w:ascii="Times New Roman" w:eastAsia="Times New Roman" w:hAnsi="Times New Roman"/>
      <w:b/>
      <w:bCs/>
      <w:lang w:val="es-ES_tradnl" w:eastAsia="es-ES"/>
    </w:rPr>
  </w:style>
  <w:style w:type="paragraph" w:styleId="Sinespaciado">
    <w:name w:val="No Spacing"/>
    <w:uiPriority w:val="1"/>
    <w:qFormat/>
    <w:rsid w:val="007B530C"/>
    <w:rPr>
      <w:sz w:val="22"/>
      <w:szCs w:val="22"/>
      <w:lang w:eastAsia="en-US"/>
    </w:rPr>
  </w:style>
  <w:style w:type="paragraph" w:customStyle="1" w:styleId="m5172954810373315010m-4345149917507547693gmail-msolistparagraph">
    <w:name w:val="m_5172954810373315010m_-4345149917507547693gmail-msolistparagraph"/>
    <w:basedOn w:val="Normal"/>
    <w:rsid w:val="0033510B"/>
    <w:pPr>
      <w:overflowPunct/>
      <w:autoSpaceDE/>
      <w:autoSpaceDN/>
      <w:adjustRightInd/>
      <w:spacing w:before="100" w:beforeAutospacing="1" w:after="100" w:afterAutospacing="1"/>
    </w:pPr>
    <w:rPr>
      <w:sz w:val="24"/>
      <w:szCs w:val="24"/>
      <w:lang w:val="es-CO"/>
    </w:rPr>
  </w:style>
  <w:style w:type="character" w:customStyle="1" w:styleId="EncabezadoCar1">
    <w:name w:val="Encabezado Car1"/>
    <w:rsid w:val="00FE3135"/>
    <w:rPr>
      <w:rFonts w:ascii="Calibri" w:eastAsia="Calibri" w:hAnsi="Calibri" w:cs="Times New Roman"/>
      <w:lang w:eastAsia="zh-CN"/>
    </w:rPr>
  </w:style>
  <w:style w:type="character" w:customStyle="1" w:styleId="PiedepginaCar1">
    <w:name w:val="Pie de página Car1"/>
    <w:rsid w:val="00FE3135"/>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659">
      <w:bodyDiv w:val="1"/>
      <w:marLeft w:val="0"/>
      <w:marRight w:val="0"/>
      <w:marTop w:val="0"/>
      <w:marBottom w:val="0"/>
      <w:divBdr>
        <w:top w:val="none" w:sz="0" w:space="0" w:color="auto"/>
        <w:left w:val="none" w:sz="0" w:space="0" w:color="auto"/>
        <w:bottom w:val="none" w:sz="0" w:space="0" w:color="auto"/>
        <w:right w:val="none" w:sz="0" w:space="0" w:color="auto"/>
      </w:divBdr>
    </w:div>
    <w:div w:id="77407644">
      <w:bodyDiv w:val="1"/>
      <w:marLeft w:val="0"/>
      <w:marRight w:val="0"/>
      <w:marTop w:val="0"/>
      <w:marBottom w:val="0"/>
      <w:divBdr>
        <w:top w:val="none" w:sz="0" w:space="0" w:color="auto"/>
        <w:left w:val="none" w:sz="0" w:space="0" w:color="auto"/>
        <w:bottom w:val="none" w:sz="0" w:space="0" w:color="auto"/>
        <w:right w:val="none" w:sz="0" w:space="0" w:color="auto"/>
      </w:divBdr>
    </w:div>
    <w:div w:id="83960619">
      <w:bodyDiv w:val="1"/>
      <w:marLeft w:val="0"/>
      <w:marRight w:val="0"/>
      <w:marTop w:val="0"/>
      <w:marBottom w:val="0"/>
      <w:divBdr>
        <w:top w:val="none" w:sz="0" w:space="0" w:color="auto"/>
        <w:left w:val="none" w:sz="0" w:space="0" w:color="auto"/>
        <w:bottom w:val="none" w:sz="0" w:space="0" w:color="auto"/>
        <w:right w:val="none" w:sz="0" w:space="0" w:color="auto"/>
      </w:divBdr>
    </w:div>
    <w:div w:id="97407200">
      <w:bodyDiv w:val="1"/>
      <w:marLeft w:val="0"/>
      <w:marRight w:val="0"/>
      <w:marTop w:val="0"/>
      <w:marBottom w:val="0"/>
      <w:divBdr>
        <w:top w:val="none" w:sz="0" w:space="0" w:color="auto"/>
        <w:left w:val="none" w:sz="0" w:space="0" w:color="auto"/>
        <w:bottom w:val="none" w:sz="0" w:space="0" w:color="auto"/>
        <w:right w:val="none" w:sz="0" w:space="0" w:color="auto"/>
      </w:divBdr>
    </w:div>
    <w:div w:id="150953343">
      <w:bodyDiv w:val="1"/>
      <w:marLeft w:val="0"/>
      <w:marRight w:val="0"/>
      <w:marTop w:val="0"/>
      <w:marBottom w:val="0"/>
      <w:divBdr>
        <w:top w:val="none" w:sz="0" w:space="0" w:color="auto"/>
        <w:left w:val="none" w:sz="0" w:space="0" w:color="auto"/>
        <w:bottom w:val="none" w:sz="0" w:space="0" w:color="auto"/>
        <w:right w:val="none" w:sz="0" w:space="0" w:color="auto"/>
      </w:divBdr>
    </w:div>
    <w:div w:id="154105212">
      <w:bodyDiv w:val="1"/>
      <w:marLeft w:val="0"/>
      <w:marRight w:val="0"/>
      <w:marTop w:val="0"/>
      <w:marBottom w:val="0"/>
      <w:divBdr>
        <w:top w:val="none" w:sz="0" w:space="0" w:color="auto"/>
        <w:left w:val="none" w:sz="0" w:space="0" w:color="auto"/>
        <w:bottom w:val="none" w:sz="0" w:space="0" w:color="auto"/>
        <w:right w:val="none" w:sz="0" w:space="0" w:color="auto"/>
      </w:divBdr>
    </w:div>
    <w:div w:id="171722617">
      <w:bodyDiv w:val="1"/>
      <w:marLeft w:val="0"/>
      <w:marRight w:val="0"/>
      <w:marTop w:val="0"/>
      <w:marBottom w:val="0"/>
      <w:divBdr>
        <w:top w:val="none" w:sz="0" w:space="0" w:color="auto"/>
        <w:left w:val="none" w:sz="0" w:space="0" w:color="auto"/>
        <w:bottom w:val="none" w:sz="0" w:space="0" w:color="auto"/>
        <w:right w:val="none" w:sz="0" w:space="0" w:color="auto"/>
      </w:divBdr>
    </w:div>
    <w:div w:id="178202477">
      <w:bodyDiv w:val="1"/>
      <w:marLeft w:val="0"/>
      <w:marRight w:val="0"/>
      <w:marTop w:val="0"/>
      <w:marBottom w:val="0"/>
      <w:divBdr>
        <w:top w:val="none" w:sz="0" w:space="0" w:color="auto"/>
        <w:left w:val="none" w:sz="0" w:space="0" w:color="auto"/>
        <w:bottom w:val="none" w:sz="0" w:space="0" w:color="auto"/>
        <w:right w:val="none" w:sz="0" w:space="0" w:color="auto"/>
      </w:divBdr>
    </w:div>
    <w:div w:id="184446201">
      <w:bodyDiv w:val="1"/>
      <w:marLeft w:val="0"/>
      <w:marRight w:val="0"/>
      <w:marTop w:val="0"/>
      <w:marBottom w:val="0"/>
      <w:divBdr>
        <w:top w:val="none" w:sz="0" w:space="0" w:color="auto"/>
        <w:left w:val="none" w:sz="0" w:space="0" w:color="auto"/>
        <w:bottom w:val="none" w:sz="0" w:space="0" w:color="auto"/>
        <w:right w:val="none" w:sz="0" w:space="0" w:color="auto"/>
      </w:divBdr>
    </w:div>
    <w:div w:id="188690626">
      <w:bodyDiv w:val="1"/>
      <w:marLeft w:val="0"/>
      <w:marRight w:val="0"/>
      <w:marTop w:val="0"/>
      <w:marBottom w:val="0"/>
      <w:divBdr>
        <w:top w:val="none" w:sz="0" w:space="0" w:color="auto"/>
        <w:left w:val="none" w:sz="0" w:space="0" w:color="auto"/>
        <w:bottom w:val="none" w:sz="0" w:space="0" w:color="auto"/>
        <w:right w:val="none" w:sz="0" w:space="0" w:color="auto"/>
      </w:divBdr>
    </w:div>
    <w:div w:id="206458839">
      <w:bodyDiv w:val="1"/>
      <w:marLeft w:val="0"/>
      <w:marRight w:val="0"/>
      <w:marTop w:val="0"/>
      <w:marBottom w:val="0"/>
      <w:divBdr>
        <w:top w:val="none" w:sz="0" w:space="0" w:color="auto"/>
        <w:left w:val="none" w:sz="0" w:space="0" w:color="auto"/>
        <w:bottom w:val="none" w:sz="0" w:space="0" w:color="auto"/>
        <w:right w:val="none" w:sz="0" w:space="0" w:color="auto"/>
      </w:divBdr>
    </w:div>
    <w:div w:id="260458903">
      <w:bodyDiv w:val="1"/>
      <w:marLeft w:val="0"/>
      <w:marRight w:val="0"/>
      <w:marTop w:val="0"/>
      <w:marBottom w:val="0"/>
      <w:divBdr>
        <w:top w:val="none" w:sz="0" w:space="0" w:color="auto"/>
        <w:left w:val="none" w:sz="0" w:space="0" w:color="auto"/>
        <w:bottom w:val="none" w:sz="0" w:space="0" w:color="auto"/>
        <w:right w:val="none" w:sz="0" w:space="0" w:color="auto"/>
      </w:divBdr>
    </w:div>
    <w:div w:id="403381304">
      <w:bodyDiv w:val="1"/>
      <w:marLeft w:val="0"/>
      <w:marRight w:val="0"/>
      <w:marTop w:val="0"/>
      <w:marBottom w:val="0"/>
      <w:divBdr>
        <w:top w:val="none" w:sz="0" w:space="0" w:color="auto"/>
        <w:left w:val="none" w:sz="0" w:space="0" w:color="auto"/>
        <w:bottom w:val="none" w:sz="0" w:space="0" w:color="auto"/>
        <w:right w:val="none" w:sz="0" w:space="0" w:color="auto"/>
      </w:divBdr>
    </w:div>
    <w:div w:id="420873420">
      <w:bodyDiv w:val="1"/>
      <w:marLeft w:val="0"/>
      <w:marRight w:val="0"/>
      <w:marTop w:val="0"/>
      <w:marBottom w:val="0"/>
      <w:divBdr>
        <w:top w:val="none" w:sz="0" w:space="0" w:color="auto"/>
        <w:left w:val="none" w:sz="0" w:space="0" w:color="auto"/>
        <w:bottom w:val="none" w:sz="0" w:space="0" w:color="auto"/>
        <w:right w:val="none" w:sz="0" w:space="0" w:color="auto"/>
      </w:divBdr>
    </w:div>
    <w:div w:id="458688954">
      <w:bodyDiv w:val="1"/>
      <w:marLeft w:val="0"/>
      <w:marRight w:val="0"/>
      <w:marTop w:val="0"/>
      <w:marBottom w:val="0"/>
      <w:divBdr>
        <w:top w:val="none" w:sz="0" w:space="0" w:color="auto"/>
        <w:left w:val="none" w:sz="0" w:space="0" w:color="auto"/>
        <w:bottom w:val="none" w:sz="0" w:space="0" w:color="auto"/>
        <w:right w:val="none" w:sz="0" w:space="0" w:color="auto"/>
      </w:divBdr>
    </w:div>
    <w:div w:id="506288078">
      <w:bodyDiv w:val="1"/>
      <w:marLeft w:val="0"/>
      <w:marRight w:val="0"/>
      <w:marTop w:val="0"/>
      <w:marBottom w:val="0"/>
      <w:divBdr>
        <w:top w:val="none" w:sz="0" w:space="0" w:color="auto"/>
        <w:left w:val="none" w:sz="0" w:space="0" w:color="auto"/>
        <w:bottom w:val="none" w:sz="0" w:space="0" w:color="auto"/>
        <w:right w:val="none" w:sz="0" w:space="0" w:color="auto"/>
      </w:divBdr>
    </w:div>
    <w:div w:id="551699569">
      <w:bodyDiv w:val="1"/>
      <w:marLeft w:val="0"/>
      <w:marRight w:val="0"/>
      <w:marTop w:val="0"/>
      <w:marBottom w:val="0"/>
      <w:divBdr>
        <w:top w:val="none" w:sz="0" w:space="0" w:color="auto"/>
        <w:left w:val="none" w:sz="0" w:space="0" w:color="auto"/>
        <w:bottom w:val="none" w:sz="0" w:space="0" w:color="auto"/>
        <w:right w:val="none" w:sz="0" w:space="0" w:color="auto"/>
      </w:divBdr>
    </w:div>
    <w:div w:id="578633929">
      <w:bodyDiv w:val="1"/>
      <w:marLeft w:val="0"/>
      <w:marRight w:val="0"/>
      <w:marTop w:val="0"/>
      <w:marBottom w:val="0"/>
      <w:divBdr>
        <w:top w:val="none" w:sz="0" w:space="0" w:color="auto"/>
        <w:left w:val="none" w:sz="0" w:space="0" w:color="auto"/>
        <w:bottom w:val="none" w:sz="0" w:space="0" w:color="auto"/>
        <w:right w:val="none" w:sz="0" w:space="0" w:color="auto"/>
      </w:divBdr>
    </w:div>
    <w:div w:id="585500093">
      <w:bodyDiv w:val="1"/>
      <w:marLeft w:val="0"/>
      <w:marRight w:val="0"/>
      <w:marTop w:val="0"/>
      <w:marBottom w:val="0"/>
      <w:divBdr>
        <w:top w:val="none" w:sz="0" w:space="0" w:color="auto"/>
        <w:left w:val="none" w:sz="0" w:space="0" w:color="auto"/>
        <w:bottom w:val="none" w:sz="0" w:space="0" w:color="auto"/>
        <w:right w:val="none" w:sz="0" w:space="0" w:color="auto"/>
      </w:divBdr>
    </w:div>
    <w:div w:id="649139171">
      <w:bodyDiv w:val="1"/>
      <w:marLeft w:val="0"/>
      <w:marRight w:val="0"/>
      <w:marTop w:val="0"/>
      <w:marBottom w:val="0"/>
      <w:divBdr>
        <w:top w:val="none" w:sz="0" w:space="0" w:color="auto"/>
        <w:left w:val="none" w:sz="0" w:space="0" w:color="auto"/>
        <w:bottom w:val="none" w:sz="0" w:space="0" w:color="auto"/>
        <w:right w:val="none" w:sz="0" w:space="0" w:color="auto"/>
      </w:divBdr>
    </w:div>
    <w:div w:id="834614798">
      <w:bodyDiv w:val="1"/>
      <w:marLeft w:val="0"/>
      <w:marRight w:val="0"/>
      <w:marTop w:val="0"/>
      <w:marBottom w:val="0"/>
      <w:divBdr>
        <w:top w:val="none" w:sz="0" w:space="0" w:color="auto"/>
        <w:left w:val="none" w:sz="0" w:space="0" w:color="auto"/>
        <w:bottom w:val="none" w:sz="0" w:space="0" w:color="auto"/>
        <w:right w:val="none" w:sz="0" w:space="0" w:color="auto"/>
      </w:divBdr>
    </w:div>
    <w:div w:id="839542435">
      <w:bodyDiv w:val="1"/>
      <w:marLeft w:val="0"/>
      <w:marRight w:val="0"/>
      <w:marTop w:val="0"/>
      <w:marBottom w:val="0"/>
      <w:divBdr>
        <w:top w:val="none" w:sz="0" w:space="0" w:color="auto"/>
        <w:left w:val="none" w:sz="0" w:space="0" w:color="auto"/>
        <w:bottom w:val="none" w:sz="0" w:space="0" w:color="auto"/>
        <w:right w:val="none" w:sz="0" w:space="0" w:color="auto"/>
      </w:divBdr>
    </w:div>
    <w:div w:id="878974859">
      <w:bodyDiv w:val="1"/>
      <w:marLeft w:val="0"/>
      <w:marRight w:val="0"/>
      <w:marTop w:val="0"/>
      <w:marBottom w:val="0"/>
      <w:divBdr>
        <w:top w:val="none" w:sz="0" w:space="0" w:color="auto"/>
        <w:left w:val="none" w:sz="0" w:space="0" w:color="auto"/>
        <w:bottom w:val="none" w:sz="0" w:space="0" w:color="auto"/>
        <w:right w:val="none" w:sz="0" w:space="0" w:color="auto"/>
      </w:divBdr>
    </w:div>
    <w:div w:id="887377587">
      <w:bodyDiv w:val="1"/>
      <w:marLeft w:val="0"/>
      <w:marRight w:val="0"/>
      <w:marTop w:val="0"/>
      <w:marBottom w:val="0"/>
      <w:divBdr>
        <w:top w:val="none" w:sz="0" w:space="0" w:color="auto"/>
        <w:left w:val="none" w:sz="0" w:space="0" w:color="auto"/>
        <w:bottom w:val="none" w:sz="0" w:space="0" w:color="auto"/>
        <w:right w:val="none" w:sz="0" w:space="0" w:color="auto"/>
      </w:divBdr>
    </w:div>
    <w:div w:id="948706719">
      <w:bodyDiv w:val="1"/>
      <w:marLeft w:val="0"/>
      <w:marRight w:val="0"/>
      <w:marTop w:val="0"/>
      <w:marBottom w:val="0"/>
      <w:divBdr>
        <w:top w:val="none" w:sz="0" w:space="0" w:color="auto"/>
        <w:left w:val="none" w:sz="0" w:space="0" w:color="auto"/>
        <w:bottom w:val="none" w:sz="0" w:space="0" w:color="auto"/>
        <w:right w:val="none" w:sz="0" w:space="0" w:color="auto"/>
      </w:divBdr>
    </w:div>
    <w:div w:id="954559912">
      <w:bodyDiv w:val="1"/>
      <w:marLeft w:val="0"/>
      <w:marRight w:val="0"/>
      <w:marTop w:val="0"/>
      <w:marBottom w:val="0"/>
      <w:divBdr>
        <w:top w:val="none" w:sz="0" w:space="0" w:color="auto"/>
        <w:left w:val="none" w:sz="0" w:space="0" w:color="auto"/>
        <w:bottom w:val="none" w:sz="0" w:space="0" w:color="auto"/>
        <w:right w:val="none" w:sz="0" w:space="0" w:color="auto"/>
      </w:divBdr>
    </w:div>
    <w:div w:id="1003044330">
      <w:bodyDiv w:val="1"/>
      <w:marLeft w:val="0"/>
      <w:marRight w:val="0"/>
      <w:marTop w:val="0"/>
      <w:marBottom w:val="0"/>
      <w:divBdr>
        <w:top w:val="none" w:sz="0" w:space="0" w:color="auto"/>
        <w:left w:val="none" w:sz="0" w:space="0" w:color="auto"/>
        <w:bottom w:val="none" w:sz="0" w:space="0" w:color="auto"/>
        <w:right w:val="none" w:sz="0" w:space="0" w:color="auto"/>
      </w:divBdr>
    </w:div>
    <w:div w:id="1065882247">
      <w:bodyDiv w:val="1"/>
      <w:marLeft w:val="0"/>
      <w:marRight w:val="0"/>
      <w:marTop w:val="0"/>
      <w:marBottom w:val="0"/>
      <w:divBdr>
        <w:top w:val="none" w:sz="0" w:space="0" w:color="auto"/>
        <w:left w:val="none" w:sz="0" w:space="0" w:color="auto"/>
        <w:bottom w:val="none" w:sz="0" w:space="0" w:color="auto"/>
        <w:right w:val="none" w:sz="0" w:space="0" w:color="auto"/>
      </w:divBdr>
    </w:div>
    <w:div w:id="1075131508">
      <w:bodyDiv w:val="1"/>
      <w:marLeft w:val="0"/>
      <w:marRight w:val="0"/>
      <w:marTop w:val="0"/>
      <w:marBottom w:val="0"/>
      <w:divBdr>
        <w:top w:val="none" w:sz="0" w:space="0" w:color="auto"/>
        <w:left w:val="none" w:sz="0" w:space="0" w:color="auto"/>
        <w:bottom w:val="none" w:sz="0" w:space="0" w:color="auto"/>
        <w:right w:val="none" w:sz="0" w:space="0" w:color="auto"/>
      </w:divBdr>
    </w:div>
    <w:div w:id="1100837511">
      <w:bodyDiv w:val="1"/>
      <w:marLeft w:val="0"/>
      <w:marRight w:val="0"/>
      <w:marTop w:val="0"/>
      <w:marBottom w:val="0"/>
      <w:divBdr>
        <w:top w:val="none" w:sz="0" w:space="0" w:color="auto"/>
        <w:left w:val="none" w:sz="0" w:space="0" w:color="auto"/>
        <w:bottom w:val="none" w:sz="0" w:space="0" w:color="auto"/>
        <w:right w:val="none" w:sz="0" w:space="0" w:color="auto"/>
      </w:divBdr>
    </w:div>
    <w:div w:id="1153640897">
      <w:bodyDiv w:val="1"/>
      <w:marLeft w:val="0"/>
      <w:marRight w:val="0"/>
      <w:marTop w:val="0"/>
      <w:marBottom w:val="0"/>
      <w:divBdr>
        <w:top w:val="none" w:sz="0" w:space="0" w:color="auto"/>
        <w:left w:val="none" w:sz="0" w:space="0" w:color="auto"/>
        <w:bottom w:val="none" w:sz="0" w:space="0" w:color="auto"/>
        <w:right w:val="none" w:sz="0" w:space="0" w:color="auto"/>
      </w:divBdr>
    </w:div>
    <w:div w:id="1200050885">
      <w:bodyDiv w:val="1"/>
      <w:marLeft w:val="0"/>
      <w:marRight w:val="0"/>
      <w:marTop w:val="0"/>
      <w:marBottom w:val="0"/>
      <w:divBdr>
        <w:top w:val="none" w:sz="0" w:space="0" w:color="auto"/>
        <w:left w:val="none" w:sz="0" w:space="0" w:color="auto"/>
        <w:bottom w:val="none" w:sz="0" w:space="0" w:color="auto"/>
        <w:right w:val="none" w:sz="0" w:space="0" w:color="auto"/>
      </w:divBdr>
    </w:div>
    <w:div w:id="1256747349">
      <w:bodyDiv w:val="1"/>
      <w:marLeft w:val="0"/>
      <w:marRight w:val="0"/>
      <w:marTop w:val="0"/>
      <w:marBottom w:val="0"/>
      <w:divBdr>
        <w:top w:val="none" w:sz="0" w:space="0" w:color="auto"/>
        <w:left w:val="none" w:sz="0" w:space="0" w:color="auto"/>
        <w:bottom w:val="none" w:sz="0" w:space="0" w:color="auto"/>
        <w:right w:val="none" w:sz="0" w:space="0" w:color="auto"/>
      </w:divBdr>
    </w:div>
    <w:div w:id="1259603384">
      <w:bodyDiv w:val="1"/>
      <w:marLeft w:val="0"/>
      <w:marRight w:val="0"/>
      <w:marTop w:val="0"/>
      <w:marBottom w:val="0"/>
      <w:divBdr>
        <w:top w:val="none" w:sz="0" w:space="0" w:color="auto"/>
        <w:left w:val="none" w:sz="0" w:space="0" w:color="auto"/>
        <w:bottom w:val="none" w:sz="0" w:space="0" w:color="auto"/>
        <w:right w:val="none" w:sz="0" w:space="0" w:color="auto"/>
      </w:divBdr>
    </w:div>
    <w:div w:id="1362588811">
      <w:bodyDiv w:val="1"/>
      <w:marLeft w:val="0"/>
      <w:marRight w:val="0"/>
      <w:marTop w:val="0"/>
      <w:marBottom w:val="0"/>
      <w:divBdr>
        <w:top w:val="none" w:sz="0" w:space="0" w:color="auto"/>
        <w:left w:val="none" w:sz="0" w:space="0" w:color="auto"/>
        <w:bottom w:val="none" w:sz="0" w:space="0" w:color="auto"/>
        <w:right w:val="none" w:sz="0" w:space="0" w:color="auto"/>
      </w:divBdr>
    </w:div>
    <w:div w:id="1430007459">
      <w:bodyDiv w:val="1"/>
      <w:marLeft w:val="0"/>
      <w:marRight w:val="0"/>
      <w:marTop w:val="0"/>
      <w:marBottom w:val="0"/>
      <w:divBdr>
        <w:top w:val="none" w:sz="0" w:space="0" w:color="auto"/>
        <w:left w:val="none" w:sz="0" w:space="0" w:color="auto"/>
        <w:bottom w:val="none" w:sz="0" w:space="0" w:color="auto"/>
        <w:right w:val="none" w:sz="0" w:space="0" w:color="auto"/>
      </w:divBdr>
    </w:div>
    <w:div w:id="1475364970">
      <w:bodyDiv w:val="1"/>
      <w:marLeft w:val="0"/>
      <w:marRight w:val="0"/>
      <w:marTop w:val="0"/>
      <w:marBottom w:val="0"/>
      <w:divBdr>
        <w:top w:val="none" w:sz="0" w:space="0" w:color="auto"/>
        <w:left w:val="none" w:sz="0" w:space="0" w:color="auto"/>
        <w:bottom w:val="none" w:sz="0" w:space="0" w:color="auto"/>
        <w:right w:val="none" w:sz="0" w:space="0" w:color="auto"/>
      </w:divBdr>
    </w:div>
    <w:div w:id="1485244769">
      <w:bodyDiv w:val="1"/>
      <w:marLeft w:val="0"/>
      <w:marRight w:val="0"/>
      <w:marTop w:val="0"/>
      <w:marBottom w:val="0"/>
      <w:divBdr>
        <w:top w:val="none" w:sz="0" w:space="0" w:color="auto"/>
        <w:left w:val="none" w:sz="0" w:space="0" w:color="auto"/>
        <w:bottom w:val="none" w:sz="0" w:space="0" w:color="auto"/>
        <w:right w:val="none" w:sz="0" w:space="0" w:color="auto"/>
      </w:divBdr>
    </w:div>
    <w:div w:id="1546479849">
      <w:bodyDiv w:val="1"/>
      <w:marLeft w:val="0"/>
      <w:marRight w:val="0"/>
      <w:marTop w:val="0"/>
      <w:marBottom w:val="0"/>
      <w:divBdr>
        <w:top w:val="none" w:sz="0" w:space="0" w:color="auto"/>
        <w:left w:val="none" w:sz="0" w:space="0" w:color="auto"/>
        <w:bottom w:val="none" w:sz="0" w:space="0" w:color="auto"/>
        <w:right w:val="none" w:sz="0" w:space="0" w:color="auto"/>
      </w:divBdr>
    </w:div>
    <w:div w:id="1644890727">
      <w:bodyDiv w:val="1"/>
      <w:marLeft w:val="0"/>
      <w:marRight w:val="0"/>
      <w:marTop w:val="0"/>
      <w:marBottom w:val="0"/>
      <w:divBdr>
        <w:top w:val="none" w:sz="0" w:space="0" w:color="auto"/>
        <w:left w:val="none" w:sz="0" w:space="0" w:color="auto"/>
        <w:bottom w:val="none" w:sz="0" w:space="0" w:color="auto"/>
        <w:right w:val="none" w:sz="0" w:space="0" w:color="auto"/>
      </w:divBdr>
    </w:div>
    <w:div w:id="1656102003">
      <w:bodyDiv w:val="1"/>
      <w:marLeft w:val="0"/>
      <w:marRight w:val="0"/>
      <w:marTop w:val="0"/>
      <w:marBottom w:val="0"/>
      <w:divBdr>
        <w:top w:val="none" w:sz="0" w:space="0" w:color="auto"/>
        <w:left w:val="none" w:sz="0" w:space="0" w:color="auto"/>
        <w:bottom w:val="none" w:sz="0" w:space="0" w:color="auto"/>
        <w:right w:val="none" w:sz="0" w:space="0" w:color="auto"/>
      </w:divBdr>
    </w:div>
    <w:div w:id="1672680012">
      <w:bodyDiv w:val="1"/>
      <w:marLeft w:val="0"/>
      <w:marRight w:val="0"/>
      <w:marTop w:val="0"/>
      <w:marBottom w:val="0"/>
      <w:divBdr>
        <w:top w:val="none" w:sz="0" w:space="0" w:color="auto"/>
        <w:left w:val="none" w:sz="0" w:space="0" w:color="auto"/>
        <w:bottom w:val="none" w:sz="0" w:space="0" w:color="auto"/>
        <w:right w:val="none" w:sz="0" w:space="0" w:color="auto"/>
      </w:divBdr>
    </w:div>
    <w:div w:id="1699430008">
      <w:bodyDiv w:val="1"/>
      <w:marLeft w:val="0"/>
      <w:marRight w:val="0"/>
      <w:marTop w:val="0"/>
      <w:marBottom w:val="0"/>
      <w:divBdr>
        <w:top w:val="none" w:sz="0" w:space="0" w:color="auto"/>
        <w:left w:val="none" w:sz="0" w:space="0" w:color="auto"/>
        <w:bottom w:val="none" w:sz="0" w:space="0" w:color="auto"/>
        <w:right w:val="none" w:sz="0" w:space="0" w:color="auto"/>
      </w:divBdr>
    </w:div>
    <w:div w:id="1700625831">
      <w:bodyDiv w:val="1"/>
      <w:marLeft w:val="0"/>
      <w:marRight w:val="0"/>
      <w:marTop w:val="0"/>
      <w:marBottom w:val="0"/>
      <w:divBdr>
        <w:top w:val="none" w:sz="0" w:space="0" w:color="auto"/>
        <w:left w:val="none" w:sz="0" w:space="0" w:color="auto"/>
        <w:bottom w:val="none" w:sz="0" w:space="0" w:color="auto"/>
        <w:right w:val="none" w:sz="0" w:space="0" w:color="auto"/>
      </w:divBdr>
    </w:div>
    <w:div w:id="1743675976">
      <w:bodyDiv w:val="1"/>
      <w:marLeft w:val="0"/>
      <w:marRight w:val="0"/>
      <w:marTop w:val="0"/>
      <w:marBottom w:val="0"/>
      <w:divBdr>
        <w:top w:val="none" w:sz="0" w:space="0" w:color="auto"/>
        <w:left w:val="none" w:sz="0" w:space="0" w:color="auto"/>
        <w:bottom w:val="none" w:sz="0" w:space="0" w:color="auto"/>
        <w:right w:val="none" w:sz="0" w:space="0" w:color="auto"/>
      </w:divBdr>
    </w:div>
    <w:div w:id="1744179898">
      <w:bodyDiv w:val="1"/>
      <w:marLeft w:val="0"/>
      <w:marRight w:val="0"/>
      <w:marTop w:val="0"/>
      <w:marBottom w:val="0"/>
      <w:divBdr>
        <w:top w:val="none" w:sz="0" w:space="0" w:color="auto"/>
        <w:left w:val="none" w:sz="0" w:space="0" w:color="auto"/>
        <w:bottom w:val="none" w:sz="0" w:space="0" w:color="auto"/>
        <w:right w:val="none" w:sz="0" w:space="0" w:color="auto"/>
      </w:divBdr>
    </w:div>
    <w:div w:id="1751392600">
      <w:bodyDiv w:val="1"/>
      <w:marLeft w:val="0"/>
      <w:marRight w:val="0"/>
      <w:marTop w:val="0"/>
      <w:marBottom w:val="0"/>
      <w:divBdr>
        <w:top w:val="none" w:sz="0" w:space="0" w:color="auto"/>
        <w:left w:val="none" w:sz="0" w:space="0" w:color="auto"/>
        <w:bottom w:val="none" w:sz="0" w:space="0" w:color="auto"/>
        <w:right w:val="none" w:sz="0" w:space="0" w:color="auto"/>
      </w:divBdr>
    </w:div>
    <w:div w:id="1755514244">
      <w:bodyDiv w:val="1"/>
      <w:marLeft w:val="0"/>
      <w:marRight w:val="0"/>
      <w:marTop w:val="0"/>
      <w:marBottom w:val="0"/>
      <w:divBdr>
        <w:top w:val="none" w:sz="0" w:space="0" w:color="auto"/>
        <w:left w:val="none" w:sz="0" w:space="0" w:color="auto"/>
        <w:bottom w:val="none" w:sz="0" w:space="0" w:color="auto"/>
        <w:right w:val="none" w:sz="0" w:space="0" w:color="auto"/>
      </w:divBdr>
    </w:div>
    <w:div w:id="1777209727">
      <w:bodyDiv w:val="1"/>
      <w:marLeft w:val="0"/>
      <w:marRight w:val="0"/>
      <w:marTop w:val="0"/>
      <w:marBottom w:val="0"/>
      <w:divBdr>
        <w:top w:val="none" w:sz="0" w:space="0" w:color="auto"/>
        <w:left w:val="none" w:sz="0" w:space="0" w:color="auto"/>
        <w:bottom w:val="none" w:sz="0" w:space="0" w:color="auto"/>
        <w:right w:val="none" w:sz="0" w:space="0" w:color="auto"/>
      </w:divBdr>
    </w:div>
    <w:div w:id="1803771625">
      <w:bodyDiv w:val="1"/>
      <w:marLeft w:val="0"/>
      <w:marRight w:val="0"/>
      <w:marTop w:val="0"/>
      <w:marBottom w:val="0"/>
      <w:divBdr>
        <w:top w:val="none" w:sz="0" w:space="0" w:color="auto"/>
        <w:left w:val="none" w:sz="0" w:space="0" w:color="auto"/>
        <w:bottom w:val="none" w:sz="0" w:space="0" w:color="auto"/>
        <w:right w:val="none" w:sz="0" w:space="0" w:color="auto"/>
      </w:divBdr>
    </w:div>
    <w:div w:id="1834025231">
      <w:bodyDiv w:val="1"/>
      <w:marLeft w:val="0"/>
      <w:marRight w:val="0"/>
      <w:marTop w:val="0"/>
      <w:marBottom w:val="0"/>
      <w:divBdr>
        <w:top w:val="none" w:sz="0" w:space="0" w:color="auto"/>
        <w:left w:val="none" w:sz="0" w:space="0" w:color="auto"/>
        <w:bottom w:val="none" w:sz="0" w:space="0" w:color="auto"/>
        <w:right w:val="none" w:sz="0" w:space="0" w:color="auto"/>
      </w:divBdr>
    </w:div>
    <w:div w:id="1860317284">
      <w:bodyDiv w:val="1"/>
      <w:marLeft w:val="0"/>
      <w:marRight w:val="0"/>
      <w:marTop w:val="0"/>
      <w:marBottom w:val="0"/>
      <w:divBdr>
        <w:top w:val="none" w:sz="0" w:space="0" w:color="auto"/>
        <w:left w:val="none" w:sz="0" w:space="0" w:color="auto"/>
        <w:bottom w:val="none" w:sz="0" w:space="0" w:color="auto"/>
        <w:right w:val="none" w:sz="0" w:space="0" w:color="auto"/>
      </w:divBdr>
    </w:div>
    <w:div w:id="1869296566">
      <w:bodyDiv w:val="1"/>
      <w:marLeft w:val="0"/>
      <w:marRight w:val="0"/>
      <w:marTop w:val="0"/>
      <w:marBottom w:val="0"/>
      <w:divBdr>
        <w:top w:val="none" w:sz="0" w:space="0" w:color="auto"/>
        <w:left w:val="none" w:sz="0" w:space="0" w:color="auto"/>
        <w:bottom w:val="none" w:sz="0" w:space="0" w:color="auto"/>
        <w:right w:val="none" w:sz="0" w:space="0" w:color="auto"/>
      </w:divBdr>
    </w:div>
    <w:div w:id="1879271519">
      <w:bodyDiv w:val="1"/>
      <w:marLeft w:val="0"/>
      <w:marRight w:val="0"/>
      <w:marTop w:val="0"/>
      <w:marBottom w:val="0"/>
      <w:divBdr>
        <w:top w:val="none" w:sz="0" w:space="0" w:color="auto"/>
        <w:left w:val="none" w:sz="0" w:space="0" w:color="auto"/>
        <w:bottom w:val="none" w:sz="0" w:space="0" w:color="auto"/>
        <w:right w:val="none" w:sz="0" w:space="0" w:color="auto"/>
      </w:divBdr>
    </w:div>
    <w:div w:id="1935743308">
      <w:bodyDiv w:val="1"/>
      <w:marLeft w:val="0"/>
      <w:marRight w:val="0"/>
      <w:marTop w:val="0"/>
      <w:marBottom w:val="0"/>
      <w:divBdr>
        <w:top w:val="none" w:sz="0" w:space="0" w:color="auto"/>
        <w:left w:val="none" w:sz="0" w:space="0" w:color="auto"/>
        <w:bottom w:val="none" w:sz="0" w:space="0" w:color="auto"/>
        <w:right w:val="none" w:sz="0" w:space="0" w:color="auto"/>
      </w:divBdr>
    </w:div>
    <w:div w:id="1966307114">
      <w:bodyDiv w:val="1"/>
      <w:marLeft w:val="0"/>
      <w:marRight w:val="0"/>
      <w:marTop w:val="0"/>
      <w:marBottom w:val="0"/>
      <w:divBdr>
        <w:top w:val="none" w:sz="0" w:space="0" w:color="auto"/>
        <w:left w:val="none" w:sz="0" w:space="0" w:color="auto"/>
        <w:bottom w:val="none" w:sz="0" w:space="0" w:color="auto"/>
        <w:right w:val="none" w:sz="0" w:space="0" w:color="auto"/>
      </w:divBdr>
    </w:div>
    <w:div w:id="1986931983">
      <w:bodyDiv w:val="1"/>
      <w:marLeft w:val="0"/>
      <w:marRight w:val="0"/>
      <w:marTop w:val="0"/>
      <w:marBottom w:val="0"/>
      <w:divBdr>
        <w:top w:val="none" w:sz="0" w:space="0" w:color="auto"/>
        <w:left w:val="none" w:sz="0" w:space="0" w:color="auto"/>
        <w:bottom w:val="none" w:sz="0" w:space="0" w:color="auto"/>
        <w:right w:val="none" w:sz="0" w:space="0" w:color="auto"/>
      </w:divBdr>
    </w:div>
    <w:div w:id="2029520139">
      <w:bodyDiv w:val="1"/>
      <w:marLeft w:val="0"/>
      <w:marRight w:val="0"/>
      <w:marTop w:val="0"/>
      <w:marBottom w:val="0"/>
      <w:divBdr>
        <w:top w:val="none" w:sz="0" w:space="0" w:color="auto"/>
        <w:left w:val="none" w:sz="0" w:space="0" w:color="auto"/>
        <w:bottom w:val="none" w:sz="0" w:space="0" w:color="auto"/>
        <w:right w:val="none" w:sz="0" w:space="0" w:color="auto"/>
      </w:divBdr>
    </w:div>
    <w:div w:id="2091852529">
      <w:bodyDiv w:val="1"/>
      <w:marLeft w:val="0"/>
      <w:marRight w:val="0"/>
      <w:marTop w:val="0"/>
      <w:marBottom w:val="0"/>
      <w:divBdr>
        <w:top w:val="none" w:sz="0" w:space="0" w:color="auto"/>
        <w:left w:val="none" w:sz="0" w:space="0" w:color="auto"/>
        <w:bottom w:val="none" w:sz="0" w:space="0" w:color="auto"/>
        <w:right w:val="none" w:sz="0" w:space="0" w:color="auto"/>
      </w:divBdr>
    </w:div>
    <w:div w:id="21324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estrategia-de-rendici%C3%B3n-de-cuentas" TargetMode="External"/><Relationship Id="rId13" Type="http://schemas.openxmlformats.org/officeDocument/2006/relationships/image" Target="media/image5.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FDDF5-6592-42F1-BCAC-044B7A620FF2}"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s-ES"/>
        </a:p>
      </dgm:t>
    </dgm:pt>
    <dgm:pt modelId="{8E695529-BEF2-40C5-B51C-BCDCC52BFB48}">
      <dgm:prSet phldrT="[Text]"/>
      <dgm:spPr>
        <a:solidFill>
          <a:srgbClr val="2D3E50"/>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30E4F483-2B10-4268-BA2C-83B2ACFDC0EF}" type="par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2DF27D1-21DF-4DD7-B7E2-BCD75161CE8E}" type="sibTrans" cxnId="{833AF0EB-EF80-4166-A0A0-93D00FCB81DF}">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DB24760E-D972-4B0D-A449-A327F425C80C}">
      <dgm:prSet phldrT="[Text]"/>
      <dgm:spPr>
        <a:solidFill>
          <a:srgbClr val="8D44AD"/>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9981A3EC-5F77-4A49-814F-9D5FC869A0EB}" type="par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8F5BC205-0EDE-4892-AD06-4E3D5EE464DC}" type="sibTrans" cxnId="{DCA48585-A45E-4703-923C-075D12D0B2E4}">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977DC15A-78A8-4132-958F-AFB40FBB2221}">
      <dgm:prSet phldrT="[Text]"/>
      <dgm:spPr>
        <a:solidFill>
          <a:schemeClr val="accent2"/>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18A8CBAA-F572-4EBA-8192-4EC1F32D0002}" type="par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BFD05B8D-E383-4862-AF49-63AE3BDA5421}" type="sibTrans" cxnId="{DC06E2D4-C99E-4051-86E3-061B47F4DC22}">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ACA3AC1E-FD41-475D-AD8D-8FDF47A58B59}">
      <dgm:prSet phldrT="[Text]"/>
      <dgm:spPr>
        <a:solidFill>
          <a:schemeClr val="accent6">
            <a:lumMod val="75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gm:t>
    </dgm:pt>
    <dgm:pt modelId="{781706FB-9DC3-4651-B1A3-8A3839AF8258}" type="parTrans" cxnId="{7983A1F2-97C5-4C42-B87E-4DA7CDEE9989}">
      <dgm:prSet/>
      <dgm:spPr/>
      <dgm:t>
        <a:bodyPr/>
        <a:lstStyle/>
        <a:p>
          <a:endParaRPr lang="es-CO"/>
        </a:p>
      </dgm:t>
    </dgm:pt>
    <dgm:pt modelId="{EB486EA0-76D1-49CA-ADC5-A004528ECCC1}" type="sibTrans" cxnId="{7983A1F2-97C5-4C42-B87E-4DA7CDEE9989}">
      <dgm:prSet/>
      <dgm:spPr/>
      <dgm:t>
        <a:bodyPr/>
        <a:lstStyle/>
        <a:p>
          <a:endParaRPr lang="es-CO"/>
        </a:p>
      </dgm:t>
    </dgm:pt>
    <dgm:pt modelId="{1E8533CB-4276-4F0C-A1A5-7860590FC92C}">
      <dgm:prSet phldrT="[Text]"/>
      <dgm:spPr>
        <a:solidFill>
          <a:schemeClr val="accent3">
            <a:lumMod val="75000"/>
          </a:schemeClr>
        </a:solidFill>
        <a:ln>
          <a:noFill/>
        </a:ln>
      </dgm:spPr>
      <dgm:t>
        <a:bodyPr/>
        <a:lstStyle/>
        <a:p>
          <a:r>
            <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LA INFORMACIÓN </a:t>
          </a:r>
        </a:p>
      </dgm:t>
    </dgm:pt>
    <dgm:pt modelId="{EB9B0914-7658-4B1D-A6AD-17DB1033B4E1}" type="sib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CAE1501-E643-43E8-9B81-2FBEC99DD2B9}" type="parTrans" cxnId="{104D0DEF-DF72-4F92-993E-02ABE6F1F34B}">
      <dgm:prSet/>
      <dgm:spPr/>
      <dgm:t>
        <a:bodyPr/>
        <a:lstStyle/>
        <a:p>
          <a:endParaRPr lang="en-US" b="1">
            <a:effectLst>
              <a:outerShdw blurRad="38100" dist="38100" dir="2700000" algn="tl">
                <a:srgbClr val="000000">
                  <a:alpha val="43137"/>
                </a:srgbClr>
              </a:outerShdw>
            </a:effectLst>
            <a:latin typeface="Open Sans" panose="020B0606030504020204" pitchFamily="34" charset="0"/>
            <a:ea typeface="Open Sans" panose="020B0606030504020204" pitchFamily="34" charset="0"/>
            <a:cs typeface="Open Sans" panose="020B0606030504020204" pitchFamily="34" charset="0"/>
          </a:endParaRPr>
        </a:p>
      </dgm:t>
    </dgm:pt>
    <dgm:pt modelId="{49828B35-5388-4179-8C7F-14AD2B9DEEA1}">
      <dgm:prSet phldrT="[Text]"/>
      <dgm:spPr>
        <a:solidFill>
          <a:schemeClr val="tx2">
            <a:lumMod val="60000"/>
            <a:lumOff val="40000"/>
          </a:schemeClr>
        </a:solidFill>
        <a:ln>
          <a:noFill/>
        </a:ln>
      </dgm:spPr>
      <dgm:t>
        <a:bodyPr/>
        <a:lstStyle/>
        <a:p>
          <a:r>
            <a:rPr lang="en-US" b="1"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b="1"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gm:t>
    </dgm:pt>
    <dgm:pt modelId="{7018A205-E6F8-4DEC-AF03-F9677973B3E5}" type="sibTrans" cxnId="{224971F5-9782-4748-BC57-75FE87EB90AF}">
      <dgm:prSet/>
      <dgm:spPr/>
      <dgm:t>
        <a:bodyPr/>
        <a:lstStyle/>
        <a:p>
          <a:endParaRPr lang="es-CO"/>
        </a:p>
      </dgm:t>
    </dgm:pt>
    <dgm:pt modelId="{D85BF382-7AC2-447E-95B7-01AF809F3D0F}" type="parTrans" cxnId="{224971F5-9782-4748-BC57-75FE87EB90AF}">
      <dgm:prSet/>
      <dgm:spPr/>
      <dgm:t>
        <a:bodyPr/>
        <a:lstStyle/>
        <a:p>
          <a:endParaRPr lang="es-CO"/>
        </a:p>
      </dgm:t>
    </dgm:pt>
    <dgm:pt modelId="{C11BDAD9-45B7-40CD-89BA-9A4CEC2EAC41}" type="pres">
      <dgm:prSet presAssocID="{BF6FDDF5-6592-42F1-BCAC-044B7A620FF2}" presName="Name0" presStyleCnt="0">
        <dgm:presLayoutVars>
          <dgm:dir/>
          <dgm:animLvl val="lvl"/>
          <dgm:resizeHandles val="exact"/>
        </dgm:presLayoutVars>
      </dgm:prSet>
      <dgm:spPr/>
      <dgm:t>
        <a:bodyPr/>
        <a:lstStyle/>
        <a:p>
          <a:endParaRPr lang="es-ES"/>
        </a:p>
      </dgm:t>
    </dgm:pt>
    <dgm:pt modelId="{389557EE-2ED8-4E48-86C3-49663E03BD9E}" type="pres">
      <dgm:prSet presAssocID="{8E695529-BEF2-40C5-B51C-BCDCC52BFB48}" presName="parTxOnly" presStyleLbl="node1" presStyleIdx="0" presStyleCnt="6">
        <dgm:presLayoutVars>
          <dgm:chMax val="0"/>
          <dgm:chPref val="0"/>
          <dgm:bulletEnabled val="1"/>
        </dgm:presLayoutVars>
      </dgm:prSet>
      <dgm:spPr/>
      <dgm:t>
        <a:bodyPr/>
        <a:lstStyle/>
        <a:p>
          <a:endParaRPr lang="es-ES"/>
        </a:p>
      </dgm:t>
    </dgm:pt>
    <dgm:pt modelId="{FBE263A0-30FD-41EA-AB97-9B0BD5EC903D}" type="pres">
      <dgm:prSet presAssocID="{B2DF27D1-21DF-4DD7-B7E2-BCD75161CE8E}" presName="parTxOnlySpace" presStyleCnt="0"/>
      <dgm:spPr/>
    </dgm:pt>
    <dgm:pt modelId="{357605CC-6597-4A87-AA7F-14067DBF7DE8}" type="pres">
      <dgm:prSet presAssocID="{DB24760E-D972-4B0D-A449-A327F425C80C}" presName="parTxOnly" presStyleLbl="node1" presStyleIdx="1" presStyleCnt="6">
        <dgm:presLayoutVars>
          <dgm:chMax val="0"/>
          <dgm:chPref val="0"/>
          <dgm:bulletEnabled val="1"/>
        </dgm:presLayoutVars>
      </dgm:prSet>
      <dgm:spPr/>
      <dgm:t>
        <a:bodyPr/>
        <a:lstStyle/>
        <a:p>
          <a:endParaRPr lang="es-ES"/>
        </a:p>
      </dgm:t>
    </dgm:pt>
    <dgm:pt modelId="{3123A0C5-0D87-4D79-8964-E7D69182A838}" type="pres">
      <dgm:prSet presAssocID="{8F5BC205-0EDE-4892-AD06-4E3D5EE464DC}" presName="parTxOnlySpace" presStyleCnt="0"/>
      <dgm:spPr/>
    </dgm:pt>
    <dgm:pt modelId="{07CF5F65-F043-4CDF-8EBE-705EB78BA783}" type="pres">
      <dgm:prSet presAssocID="{49828B35-5388-4179-8C7F-14AD2B9DEEA1}" presName="parTxOnly" presStyleLbl="node1" presStyleIdx="2" presStyleCnt="6" custLinFactX="83466" custLinFactNeighborX="100000">
        <dgm:presLayoutVars>
          <dgm:chMax val="0"/>
          <dgm:chPref val="0"/>
          <dgm:bulletEnabled val="1"/>
        </dgm:presLayoutVars>
      </dgm:prSet>
      <dgm:spPr/>
      <dgm:t>
        <a:bodyPr/>
        <a:lstStyle/>
        <a:p>
          <a:endParaRPr lang="es-CO"/>
        </a:p>
      </dgm:t>
    </dgm:pt>
    <dgm:pt modelId="{893D3369-99B0-44DF-ACE2-C28CF77CB5F8}" type="pres">
      <dgm:prSet presAssocID="{7018A205-E6F8-4DEC-AF03-F9677973B3E5}" presName="parTxOnlySpace" presStyleCnt="0"/>
      <dgm:spPr/>
    </dgm:pt>
    <dgm:pt modelId="{D66DB8D0-7C61-4B78-A14F-3925586D8949}" type="pres">
      <dgm:prSet presAssocID="{1E8533CB-4276-4F0C-A1A5-7860590FC92C}" presName="parTxOnly" presStyleLbl="node1" presStyleIdx="3" presStyleCnt="6" custLinFactX="-77858" custLinFactNeighborX="-100000" custLinFactNeighborY="-2336">
        <dgm:presLayoutVars>
          <dgm:chMax val="0"/>
          <dgm:chPref val="0"/>
          <dgm:bulletEnabled val="1"/>
        </dgm:presLayoutVars>
      </dgm:prSet>
      <dgm:spPr/>
      <dgm:t>
        <a:bodyPr/>
        <a:lstStyle/>
        <a:p>
          <a:endParaRPr lang="es-ES"/>
        </a:p>
      </dgm:t>
    </dgm:pt>
    <dgm:pt modelId="{275D90AA-8419-43CC-A150-7A474945FB8E}" type="pres">
      <dgm:prSet presAssocID="{EB9B0914-7658-4B1D-A6AD-17DB1033B4E1}" presName="parTxOnlySpace" presStyleCnt="0"/>
      <dgm:spPr/>
    </dgm:pt>
    <dgm:pt modelId="{53DA6D5D-F21E-4ABF-9C1E-B186697B102C}" type="pres">
      <dgm:prSet presAssocID="{ACA3AC1E-FD41-475D-AD8D-8FDF47A58B59}" presName="parTxOnly" presStyleLbl="node1" presStyleIdx="4" presStyleCnt="6">
        <dgm:presLayoutVars>
          <dgm:chMax val="0"/>
          <dgm:chPref val="0"/>
          <dgm:bulletEnabled val="1"/>
        </dgm:presLayoutVars>
      </dgm:prSet>
      <dgm:spPr/>
      <dgm:t>
        <a:bodyPr/>
        <a:lstStyle/>
        <a:p>
          <a:endParaRPr lang="es-CO"/>
        </a:p>
      </dgm:t>
    </dgm:pt>
    <dgm:pt modelId="{A2EE53C3-2803-412C-A279-96621BEED965}" type="pres">
      <dgm:prSet presAssocID="{EB486EA0-76D1-49CA-ADC5-A004528ECCC1}" presName="parTxOnlySpace" presStyleCnt="0"/>
      <dgm:spPr/>
    </dgm:pt>
    <dgm:pt modelId="{86D4ABDC-FFDF-47F1-93AE-B99FE41F65C7}" type="pres">
      <dgm:prSet presAssocID="{977DC15A-78A8-4132-958F-AFB40FBB2221}" presName="parTxOnly" presStyleLbl="node1" presStyleIdx="5" presStyleCnt="6">
        <dgm:presLayoutVars>
          <dgm:chMax val="0"/>
          <dgm:chPref val="0"/>
          <dgm:bulletEnabled val="1"/>
        </dgm:presLayoutVars>
      </dgm:prSet>
      <dgm:spPr/>
      <dgm:t>
        <a:bodyPr/>
        <a:lstStyle/>
        <a:p>
          <a:endParaRPr lang="es-ES"/>
        </a:p>
      </dgm:t>
    </dgm:pt>
  </dgm:ptLst>
  <dgm:cxnLst>
    <dgm:cxn modelId="{DC06E2D4-C99E-4051-86E3-061B47F4DC22}" srcId="{BF6FDDF5-6592-42F1-BCAC-044B7A620FF2}" destId="{977DC15A-78A8-4132-958F-AFB40FBB2221}" srcOrd="5" destOrd="0" parTransId="{18A8CBAA-F572-4EBA-8192-4EC1F32D0002}" sibTransId="{BFD05B8D-E383-4862-AF49-63AE3BDA5421}"/>
    <dgm:cxn modelId="{104D0DEF-DF72-4F92-993E-02ABE6F1F34B}" srcId="{BF6FDDF5-6592-42F1-BCAC-044B7A620FF2}" destId="{1E8533CB-4276-4F0C-A1A5-7860590FC92C}" srcOrd="3" destOrd="0" parTransId="{4CAE1501-E643-43E8-9B81-2FBEC99DD2B9}" sibTransId="{EB9B0914-7658-4B1D-A6AD-17DB1033B4E1}"/>
    <dgm:cxn modelId="{EDFEE1B3-05F9-4878-9F3F-FEABD992A337}" type="presOf" srcId="{1E8533CB-4276-4F0C-A1A5-7860590FC92C}" destId="{D66DB8D0-7C61-4B78-A14F-3925586D8949}" srcOrd="0" destOrd="0" presId="urn:microsoft.com/office/officeart/2005/8/layout/chevron1"/>
    <dgm:cxn modelId="{DCA48585-A45E-4703-923C-075D12D0B2E4}" srcId="{BF6FDDF5-6592-42F1-BCAC-044B7A620FF2}" destId="{DB24760E-D972-4B0D-A449-A327F425C80C}" srcOrd="1" destOrd="0" parTransId="{9981A3EC-5F77-4A49-814F-9D5FC869A0EB}" sibTransId="{8F5BC205-0EDE-4892-AD06-4E3D5EE464DC}"/>
    <dgm:cxn modelId="{833AF0EB-EF80-4166-A0A0-93D00FCB81DF}" srcId="{BF6FDDF5-6592-42F1-BCAC-044B7A620FF2}" destId="{8E695529-BEF2-40C5-B51C-BCDCC52BFB48}" srcOrd="0" destOrd="0" parTransId="{30E4F483-2B10-4268-BA2C-83B2ACFDC0EF}" sibTransId="{B2DF27D1-21DF-4DD7-B7E2-BCD75161CE8E}"/>
    <dgm:cxn modelId="{DBEDE217-67D1-474A-B5C3-3B50CCF071BC}" type="presOf" srcId="{BF6FDDF5-6592-42F1-BCAC-044B7A620FF2}" destId="{C11BDAD9-45B7-40CD-89BA-9A4CEC2EAC41}" srcOrd="0" destOrd="0" presId="urn:microsoft.com/office/officeart/2005/8/layout/chevron1"/>
    <dgm:cxn modelId="{2802969C-620C-4A97-83C8-97D55C66015E}" type="presOf" srcId="{49828B35-5388-4179-8C7F-14AD2B9DEEA1}" destId="{07CF5F65-F043-4CDF-8EBE-705EB78BA783}" srcOrd="0" destOrd="0" presId="urn:microsoft.com/office/officeart/2005/8/layout/chevron1"/>
    <dgm:cxn modelId="{3F4E8BC1-2340-4D83-AADC-1142C47453C9}" type="presOf" srcId="{ACA3AC1E-FD41-475D-AD8D-8FDF47A58B59}" destId="{53DA6D5D-F21E-4ABF-9C1E-B186697B102C}" srcOrd="0" destOrd="0" presId="urn:microsoft.com/office/officeart/2005/8/layout/chevron1"/>
    <dgm:cxn modelId="{C493B650-1C06-4B43-A472-3D230401B26C}" type="presOf" srcId="{DB24760E-D972-4B0D-A449-A327F425C80C}" destId="{357605CC-6597-4A87-AA7F-14067DBF7DE8}" srcOrd="0" destOrd="0" presId="urn:microsoft.com/office/officeart/2005/8/layout/chevron1"/>
    <dgm:cxn modelId="{7983A1F2-97C5-4C42-B87E-4DA7CDEE9989}" srcId="{BF6FDDF5-6592-42F1-BCAC-044B7A620FF2}" destId="{ACA3AC1E-FD41-475D-AD8D-8FDF47A58B59}" srcOrd="4" destOrd="0" parTransId="{781706FB-9DC3-4651-B1A3-8A3839AF8258}" sibTransId="{EB486EA0-76D1-49CA-ADC5-A004528ECCC1}"/>
    <dgm:cxn modelId="{224971F5-9782-4748-BC57-75FE87EB90AF}" srcId="{BF6FDDF5-6592-42F1-BCAC-044B7A620FF2}" destId="{49828B35-5388-4179-8C7F-14AD2B9DEEA1}" srcOrd="2" destOrd="0" parTransId="{D85BF382-7AC2-447E-95B7-01AF809F3D0F}" sibTransId="{7018A205-E6F8-4DEC-AF03-F9677973B3E5}"/>
    <dgm:cxn modelId="{44733591-030A-4BA2-98D6-B52DFD020D58}" type="presOf" srcId="{8E695529-BEF2-40C5-B51C-BCDCC52BFB48}" destId="{389557EE-2ED8-4E48-86C3-49663E03BD9E}" srcOrd="0" destOrd="0" presId="urn:microsoft.com/office/officeart/2005/8/layout/chevron1"/>
    <dgm:cxn modelId="{0012C1E3-D53E-43C9-A2ED-247528B82264}" type="presOf" srcId="{977DC15A-78A8-4132-958F-AFB40FBB2221}" destId="{86D4ABDC-FFDF-47F1-93AE-B99FE41F65C7}" srcOrd="0" destOrd="0" presId="urn:microsoft.com/office/officeart/2005/8/layout/chevron1"/>
    <dgm:cxn modelId="{444929A1-4AB5-480D-B95B-18008C372B77}" type="presParOf" srcId="{C11BDAD9-45B7-40CD-89BA-9A4CEC2EAC41}" destId="{389557EE-2ED8-4E48-86C3-49663E03BD9E}" srcOrd="0" destOrd="0" presId="urn:microsoft.com/office/officeart/2005/8/layout/chevron1"/>
    <dgm:cxn modelId="{657BC80D-530C-467E-AFF7-5A5233FB2EEF}" type="presParOf" srcId="{C11BDAD9-45B7-40CD-89BA-9A4CEC2EAC41}" destId="{FBE263A0-30FD-41EA-AB97-9B0BD5EC903D}" srcOrd="1" destOrd="0" presId="urn:microsoft.com/office/officeart/2005/8/layout/chevron1"/>
    <dgm:cxn modelId="{DA415A00-1982-494F-96FC-121DF80A12AF}" type="presParOf" srcId="{C11BDAD9-45B7-40CD-89BA-9A4CEC2EAC41}" destId="{357605CC-6597-4A87-AA7F-14067DBF7DE8}" srcOrd="2" destOrd="0" presId="urn:microsoft.com/office/officeart/2005/8/layout/chevron1"/>
    <dgm:cxn modelId="{519AFAFB-288F-46A3-BC19-FD60DC912580}" type="presParOf" srcId="{C11BDAD9-45B7-40CD-89BA-9A4CEC2EAC41}" destId="{3123A0C5-0D87-4D79-8964-E7D69182A838}" srcOrd="3" destOrd="0" presId="urn:microsoft.com/office/officeart/2005/8/layout/chevron1"/>
    <dgm:cxn modelId="{B7F63525-4BA3-4667-8346-403FE8F9DCAD}" type="presParOf" srcId="{C11BDAD9-45B7-40CD-89BA-9A4CEC2EAC41}" destId="{07CF5F65-F043-4CDF-8EBE-705EB78BA783}" srcOrd="4" destOrd="0" presId="urn:microsoft.com/office/officeart/2005/8/layout/chevron1"/>
    <dgm:cxn modelId="{5AD35714-DE0F-484D-91BF-EC686DE88E77}" type="presParOf" srcId="{C11BDAD9-45B7-40CD-89BA-9A4CEC2EAC41}" destId="{893D3369-99B0-44DF-ACE2-C28CF77CB5F8}" srcOrd="5" destOrd="0" presId="urn:microsoft.com/office/officeart/2005/8/layout/chevron1"/>
    <dgm:cxn modelId="{0DA4C185-7FA4-4277-9CB1-6642E3FE9C77}" type="presParOf" srcId="{C11BDAD9-45B7-40CD-89BA-9A4CEC2EAC41}" destId="{D66DB8D0-7C61-4B78-A14F-3925586D8949}" srcOrd="6" destOrd="0" presId="urn:microsoft.com/office/officeart/2005/8/layout/chevron1"/>
    <dgm:cxn modelId="{6403B031-92AD-4E8B-8C30-AC1B169CBF1A}" type="presParOf" srcId="{C11BDAD9-45B7-40CD-89BA-9A4CEC2EAC41}" destId="{275D90AA-8419-43CC-A150-7A474945FB8E}" srcOrd="7" destOrd="0" presId="urn:microsoft.com/office/officeart/2005/8/layout/chevron1"/>
    <dgm:cxn modelId="{9D4181CE-0112-4028-9D5E-87CB7080D122}" type="presParOf" srcId="{C11BDAD9-45B7-40CD-89BA-9A4CEC2EAC41}" destId="{53DA6D5D-F21E-4ABF-9C1E-B186697B102C}" srcOrd="8" destOrd="0" presId="urn:microsoft.com/office/officeart/2005/8/layout/chevron1"/>
    <dgm:cxn modelId="{320D8D59-1614-4FB9-97FE-F365EAE94EDD}" type="presParOf" srcId="{C11BDAD9-45B7-40CD-89BA-9A4CEC2EAC41}" destId="{A2EE53C3-2803-412C-A279-96621BEED965}" srcOrd="9" destOrd="0" presId="urn:microsoft.com/office/officeart/2005/8/layout/chevron1"/>
    <dgm:cxn modelId="{8D45FBAF-460B-44FA-A647-D9C3039113FA}" type="presParOf" srcId="{C11BDAD9-45B7-40CD-89BA-9A4CEC2EAC41}" destId="{86D4ABDC-FFDF-47F1-93AE-B99FE41F65C7}" srcOrd="10" destOrd="0" presId="urn:microsoft.com/office/officeart/2005/8/layout/chevron1"/>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9557EE-2ED8-4E48-86C3-49663E03BD9E}">
      <dsp:nvSpPr>
        <dsp:cNvPr id="0" name=""/>
        <dsp:cNvSpPr/>
      </dsp:nvSpPr>
      <dsp:spPr>
        <a:xfrm>
          <a:off x="2739" y="173868"/>
          <a:ext cx="1019090" cy="407636"/>
        </a:xfrm>
        <a:prstGeom prst="chevron">
          <a:avLst/>
        </a:prstGeom>
        <a:solidFill>
          <a:srgbClr val="2D3E5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ALISTAMIENTO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06557" y="173868"/>
        <a:ext cx="611454" cy="407636"/>
      </dsp:txXfrm>
    </dsp:sp>
    <dsp:sp modelId="{357605CC-6597-4A87-AA7F-14067DBF7DE8}">
      <dsp:nvSpPr>
        <dsp:cNvPr id="0" name=""/>
        <dsp:cNvSpPr/>
      </dsp:nvSpPr>
      <dsp:spPr>
        <a:xfrm>
          <a:off x="919920" y="173868"/>
          <a:ext cx="1019090" cy="407636"/>
        </a:xfrm>
        <a:prstGeom prst="chevron">
          <a:avLst/>
        </a:prstGeom>
        <a:solidFill>
          <a:srgbClr val="8D44AD"/>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CAPACITACIÓN</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1123738" y="173868"/>
        <a:ext cx="611454" cy="407636"/>
      </dsp:txXfrm>
    </dsp:sp>
    <dsp:sp modelId="{07CF5F65-F043-4CDF-8EBE-705EB78BA783}">
      <dsp:nvSpPr>
        <dsp:cNvPr id="0" name=""/>
        <dsp:cNvSpPr/>
      </dsp:nvSpPr>
      <dsp:spPr>
        <a:xfrm>
          <a:off x="2789604" y="173868"/>
          <a:ext cx="1019090" cy="407636"/>
        </a:xfrm>
        <a:prstGeom prst="chevron">
          <a:avLst/>
        </a:prstGeom>
        <a:solidFill>
          <a:schemeClr val="tx2">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DIÁLOGO CIUDADANO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2993422" y="173868"/>
        <a:ext cx="611454" cy="407636"/>
      </dsp:txXfrm>
    </dsp:sp>
    <dsp:sp modelId="{D66DB8D0-7C61-4B78-A14F-3925586D8949}">
      <dsp:nvSpPr>
        <dsp:cNvPr id="0" name=""/>
        <dsp:cNvSpPr/>
      </dsp:nvSpPr>
      <dsp:spPr>
        <a:xfrm>
          <a:off x="1858930" y="164346"/>
          <a:ext cx="1019090" cy="407636"/>
        </a:xfrm>
        <a:prstGeom prst="chevron">
          <a:avLst/>
        </a:prstGeom>
        <a:solidFill>
          <a:schemeClr val="accent3">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PUBLICACIÓN DE LA INFORMACIÓN </a:t>
          </a:r>
        </a:p>
      </dsp:txBody>
      <dsp:txXfrm>
        <a:off x="2062748" y="164346"/>
        <a:ext cx="611454" cy="407636"/>
      </dsp:txXfrm>
    </dsp:sp>
    <dsp:sp modelId="{53DA6D5D-F21E-4ABF-9C1E-B186697B102C}">
      <dsp:nvSpPr>
        <dsp:cNvPr id="0" name=""/>
        <dsp:cNvSpPr/>
      </dsp:nvSpPr>
      <dsp:spPr>
        <a:xfrm>
          <a:off x="3671463" y="173868"/>
          <a:ext cx="1019090" cy="407636"/>
        </a:xfrm>
        <a:prstGeom prst="chevron">
          <a:avLst/>
        </a:prstGeom>
        <a:solidFill>
          <a:schemeClr val="accent6">
            <a:lumMod val="7500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AUDIENCIA PÚBLICA</a:t>
          </a:r>
        </a:p>
      </dsp:txBody>
      <dsp:txXfrm>
        <a:off x="3875281" y="173868"/>
        <a:ext cx="611454" cy="407636"/>
      </dsp:txXfrm>
    </dsp:sp>
    <dsp:sp modelId="{86D4ABDC-FFDF-47F1-93AE-B99FE41F65C7}">
      <dsp:nvSpPr>
        <dsp:cNvPr id="0" name=""/>
        <dsp:cNvSpPr/>
      </dsp:nvSpPr>
      <dsp:spPr>
        <a:xfrm>
          <a:off x="4588644" y="173868"/>
          <a:ext cx="1019090" cy="407636"/>
        </a:xfrm>
        <a:prstGeom prst="chevron">
          <a:avLst/>
        </a:prstGeom>
        <a:solidFill>
          <a:schemeClr val="accent2"/>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en-US" sz="700" b="1" kern="1200" dirty="0" smtClean="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rPr>
            <a:t>SEGUIMIENTO</a:t>
          </a:r>
          <a:endParaRPr lang="en-US" sz="700" b="1" kern="1200" dirty="0">
            <a:effectLst>
              <a:outerShdw blurRad="38100" dist="38100" dir="2700000" algn="tl">
                <a:srgbClr val="000000">
                  <a:alpha val="43137"/>
                </a:srgbClr>
              </a:outerShdw>
            </a:effectLst>
            <a:latin typeface="Arial Narrow" pitchFamily="34" charset="0"/>
            <a:ea typeface="Open Sans" panose="020B0606030504020204" pitchFamily="34" charset="0"/>
            <a:cs typeface="Open Sans" panose="020B0606030504020204" pitchFamily="34" charset="0"/>
          </a:endParaRPr>
        </a:p>
      </dsp:txBody>
      <dsp:txXfrm>
        <a:off x="4792462" y="173868"/>
        <a:ext cx="611454" cy="4076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C396-F48A-42C7-A766-562DA8DF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4894</Words>
  <Characters>26921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cortiz</dc:creator>
  <cp:keywords>IDEP/Formato tamaño carta</cp:keywords>
  <dc:description>IDEP / Formato tamaño carta</dc:description>
  <cp:lastModifiedBy>Diana Carolina Martínez Rodríguez</cp:lastModifiedBy>
  <cp:revision>42</cp:revision>
  <cp:lastPrinted>2018-06-13T00:18:00Z</cp:lastPrinted>
  <dcterms:created xsi:type="dcterms:W3CDTF">2019-02-25T14:08:00Z</dcterms:created>
  <dcterms:modified xsi:type="dcterms:W3CDTF">2019-03-29T15:06:00Z</dcterms:modified>
</cp:coreProperties>
</file>