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AA7" w:rsidRDefault="00A979B1">
      <w:pPr>
        <w:pStyle w:val="Textoindependiente"/>
        <w:ind w:left="7299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800130" cy="83172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30" cy="831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AA7" w:rsidRDefault="00FC3AA7">
      <w:pPr>
        <w:pStyle w:val="Textoindependiente"/>
        <w:rPr>
          <w:rFonts w:ascii="Times New Roman"/>
          <w:sz w:val="20"/>
        </w:rPr>
      </w:pPr>
    </w:p>
    <w:p w:rsidR="00FC3AA7" w:rsidRDefault="00FC3AA7">
      <w:pPr>
        <w:pStyle w:val="Textoindependiente"/>
        <w:rPr>
          <w:rFonts w:ascii="Times New Roman"/>
          <w:sz w:val="20"/>
        </w:rPr>
      </w:pPr>
    </w:p>
    <w:p w:rsidR="00FC3AA7" w:rsidRDefault="00FC3AA7">
      <w:pPr>
        <w:pStyle w:val="Textoindependiente"/>
        <w:spacing w:before="1" w:after="1"/>
        <w:rPr>
          <w:rFonts w:ascii="Times New Roman"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2932"/>
        <w:gridCol w:w="3144"/>
        <w:gridCol w:w="3329"/>
        <w:gridCol w:w="1349"/>
        <w:gridCol w:w="2231"/>
      </w:tblGrid>
      <w:tr w:rsidR="00FC3AA7" w:rsidRPr="00AC46AD" w:rsidTr="00AC46AD">
        <w:trPr>
          <w:trHeight w:val="515"/>
        </w:trPr>
        <w:tc>
          <w:tcPr>
            <w:tcW w:w="15750" w:type="dxa"/>
            <w:gridSpan w:val="6"/>
          </w:tcPr>
          <w:p w:rsidR="00FC3AA7" w:rsidRPr="00AC46AD" w:rsidRDefault="00A979B1" w:rsidP="00BB74B3">
            <w:pPr>
              <w:pStyle w:val="TableParagraph"/>
              <w:spacing w:before="104"/>
              <w:ind w:left="5691" w:right="5682"/>
              <w:jc w:val="center"/>
              <w:rPr>
                <w:b/>
                <w:sz w:val="16"/>
                <w:szCs w:val="16"/>
              </w:rPr>
            </w:pPr>
            <w:r w:rsidRPr="00AC46AD">
              <w:rPr>
                <w:b/>
                <w:sz w:val="16"/>
                <w:szCs w:val="16"/>
              </w:rPr>
              <w:t>INFORM</w:t>
            </w:r>
            <w:r w:rsidR="00721754" w:rsidRPr="00AC46AD">
              <w:rPr>
                <w:b/>
                <w:sz w:val="16"/>
                <w:szCs w:val="16"/>
              </w:rPr>
              <w:t xml:space="preserve">E DE DEFENSA JUDICIAL VIGENTE </w:t>
            </w:r>
            <w:r w:rsidR="00251017">
              <w:rPr>
                <w:b/>
                <w:sz w:val="16"/>
                <w:szCs w:val="16"/>
              </w:rPr>
              <w:t>8</w:t>
            </w:r>
            <w:bookmarkStart w:id="0" w:name="_GoBack"/>
            <w:bookmarkEnd w:id="0"/>
            <w:r w:rsidR="002128A5" w:rsidRPr="00AC46AD">
              <w:rPr>
                <w:b/>
                <w:sz w:val="16"/>
                <w:szCs w:val="16"/>
                <w:lang w:val="es-419"/>
              </w:rPr>
              <w:t>/0</w:t>
            </w:r>
            <w:r w:rsidR="00251017">
              <w:rPr>
                <w:b/>
                <w:sz w:val="16"/>
                <w:szCs w:val="16"/>
                <w:lang w:val="es-419"/>
              </w:rPr>
              <w:t>8</w:t>
            </w:r>
            <w:r w:rsidRPr="00AC46AD">
              <w:rPr>
                <w:b/>
                <w:sz w:val="16"/>
                <w:szCs w:val="16"/>
              </w:rPr>
              <w:t>/201</w:t>
            </w:r>
            <w:r w:rsidR="002128A5" w:rsidRPr="00AC46AD">
              <w:rPr>
                <w:b/>
                <w:sz w:val="16"/>
                <w:szCs w:val="16"/>
              </w:rPr>
              <w:t>9</w:t>
            </w:r>
            <w:r w:rsidRPr="00AC46AD">
              <w:rPr>
                <w:b/>
                <w:sz w:val="16"/>
                <w:szCs w:val="16"/>
              </w:rPr>
              <w:t>.</w:t>
            </w:r>
          </w:p>
        </w:tc>
      </w:tr>
      <w:tr w:rsidR="00FC3AA7" w:rsidRPr="00AC46AD" w:rsidTr="00AC46AD">
        <w:trPr>
          <w:trHeight w:val="782"/>
        </w:trPr>
        <w:tc>
          <w:tcPr>
            <w:tcW w:w="2765" w:type="dxa"/>
          </w:tcPr>
          <w:p w:rsidR="00FC3AA7" w:rsidRPr="00AC46AD" w:rsidRDefault="00A979B1">
            <w:pPr>
              <w:pStyle w:val="TableParagraph"/>
              <w:ind w:left="146"/>
              <w:rPr>
                <w:b/>
                <w:sz w:val="16"/>
                <w:szCs w:val="16"/>
              </w:rPr>
            </w:pPr>
            <w:r w:rsidRPr="00AC46AD">
              <w:rPr>
                <w:b/>
                <w:sz w:val="16"/>
                <w:szCs w:val="16"/>
              </w:rPr>
              <w:t>N. DE DEMANDAS/ DENUNCIAS</w:t>
            </w:r>
          </w:p>
        </w:tc>
        <w:tc>
          <w:tcPr>
            <w:tcW w:w="2932" w:type="dxa"/>
          </w:tcPr>
          <w:p w:rsidR="00FC3AA7" w:rsidRPr="00AC46AD" w:rsidRDefault="00A979B1" w:rsidP="00AC46AD">
            <w:pPr>
              <w:pStyle w:val="TableParagraph"/>
              <w:ind w:left="758" w:hanging="519"/>
              <w:rPr>
                <w:b/>
                <w:sz w:val="16"/>
                <w:szCs w:val="16"/>
              </w:rPr>
            </w:pPr>
            <w:r w:rsidRPr="00AC46AD">
              <w:rPr>
                <w:b/>
                <w:sz w:val="16"/>
                <w:szCs w:val="16"/>
              </w:rPr>
              <w:t>DEMANDANTE/ DENUNCIANTE</w:t>
            </w:r>
          </w:p>
        </w:tc>
        <w:tc>
          <w:tcPr>
            <w:tcW w:w="3144" w:type="dxa"/>
          </w:tcPr>
          <w:p w:rsidR="00FC3AA7" w:rsidRPr="00AC46AD" w:rsidRDefault="00A979B1" w:rsidP="00AC46AD">
            <w:pPr>
              <w:pStyle w:val="TableParagraph"/>
              <w:spacing w:line="432" w:lineRule="auto"/>
              <w:ind w:left="588" w:right="529" w:hanging="304"/>
              <w:rPr>
                <w:b/>
                <w:sz w:val="16"/>
                <w:szCs w:val="16"/>
              </w:rPr>
            </w:pPr>
            <w:r w:rsidRPr="00AC46AD">
              <w:rPr>
                <w:b/>
                <w:sz w:val="16"/>
                <w:szCs w:val="16"/>
              </w:rPr>
              <w:t>DEMANDADO / DENUNCIADO</w:t>
            </w:r>
          </w:p>
        </w:tc>
        <w:tc>
          <w:tcPr>
            <w:tcW w:w="3329" w:type="dxa"/>
          </w:tcPr>
          <w:p w:rsidR="00FC3AA7" w:rsidRPr="00AC46AD" w:rsidRDefault="00A979B1">
            <w:pPr>
              <w:pStyle w:val="TableParagraph"/>
              <w:ind w:left="420" w:right="413"/>
              <w:jc w:val="center"/>
              <w:rPr>
                <w:b/>
                <w:sz w:val="16"/>
                <w:szCs w:val="16"/>
              </w:rPr>
            </w:pPr>
            <w:r w:rsidRPr="00AC46AD">
              <w:rPr>
                <w:b/>
                <w:sz w:val="16"/>
                <w:szCs w:val="16"/>
              </w:rPr>
              <w:t>ESTADO</w:t>
            </w:r>
          </w:p>
        </w:tc>
        <w:tc>
          <w:tcPr>
            <w:tcW w:w="1349" w:type="dxa"/>
          </w:tcPr>
          <w:p w:rsidR="00FC3AA7" w:rsidRPr="00AC46AD" w:rsidRDefault="00A979B1">
            <w:pPr>
              <w:pStyle w:val="TableParagraph"/>
              <w:ind w:left="254"/>
              <w:rPr>
                <w:b/>
                <w:sz w:val="16"/>
                <w:szCs w:val="16"/>
              </w:rPr>
            </w:pPr>
            <w:r w:rsidRPr="00AC46AD">
              <w:rPr>
                <w:b/>
                <w:sz w:val="16"/>
                <w:szCs w:val="16"/>
              </w:rPr>
              <w:t>CUANTÍA</w:t>
            </w:r>
          </w:p>
        </w:tc>
        <w:tc>
          <w:tcPr>
            <w:tcW w:w="2231" w:type="dxa"/>
          </w:tcPr>
          <w:p w:rsidR="00FC3AA7" w:rsidRPr="00AC46AD" w:rsidRDefault="00A979B1" w:rsidP="00AC46AD">
            <w:pPr>
              <w:pStyle w:val="TableParagraph"/>
              <w:ind w:left="622" w:hanging="271"/>
              <w:rPr>
                <w:b/>
                <w:sz w:val="16"/>
                <w:szCs w:val="16"/>
              </w:rPr>
            </w:pPr>
            <w:r w:rsidRPr="00AC46AD">
              <w:rPr>
                <w:b/>
                <w:sz w:val="16"/>
                <w:szCs w:val="16"/>
              </w:rPr>
              <w:t>RIESGO DE PERDIDA</w:t>
            </w:r>
          </w:p>
        </w:tc>
      </w:tr>
      <w:tr w:rsidR="00FC3AA7" w:rsidRPr="00AC46AD" w:rsidTr="00AC46AD">
        <w:trPr>
          <w:trHeight w:val="1683"/>
        </w:trPr>
        <w:tc>
          <w:tcPr>
            <w:tcW w:w="2765" w:type="dxa"/>
          </w:tcPr>
          <w:p w:rsidR="00FC3AA7" w:rsidRPr="00AC46AD" w:rsidRDefault="00A979B1" w:rsidP="00454049">
            <w:pPr>
              <w:pStyle w:val="TableParagraph"/>
              <w:spacing w:before="141"/>
              <w:ind w:left="107"/>
              <w:rPr>
                <w:b/>
                <w:sz w:val="16"/>
                <w:szCs w:val="16"/>
              </w:rPr>
            </w:pPr>
            <w:r w:rsidRPr="00AC46AD">
              <w:rPr>
                <w:b/>
                <w:w w:val="95"/>
                <w:sz w:val="16"/>
                <w:szCs w:val="16"/>
              </w:rPr>
              <w:t xml:space="preserve">1. </w:t>
            </w:r>
            <w:r w:rsidR="00454049">
              <w:rPr>
                <w:b/>
                <w:w w:val="95"/>
                <w:sz w:val="16"/>
                <w:szCs w:val="16"/>
              </w:rPr>
              <w:t>Proceso ejecutivo</w:t>
            </w:r>
          </w:p>
        </w:tc>
        <w:tc>
          <w:tcPr>
            <w:tcW w:w="2932" w:type="dxa"/>
          </w:tcPr>
          <w:p w:rsidR="00FC3AA7" w:rsidRPr="00AC46AD" w:rsidRDefault="00A979B1">
            <w:pPr>
              <w:pStyle w:val="TableParagraph"/>
              <w:spacing w:before="106" w:line="432" w:lineRule="auto"/>
              <w:ind w:left="105" w:right="87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Instituto para la investigación Educativa y el Desarrollo Pedagógico – IDEP.</w:t>
            </w:r>
          </w:p>
        </w:tc>
        <w:tc>
          <w:tcPr>
            <w:tcW w:w="3144" w:type="dxa"/>
          </w:tcPr>
          <w:p w:rsidR="00FC3AA7" w:rsidRPr="00AC46AD" w:rsidRDefault="00A979B1">
            <w:pPr>
              <w:pStyle w:val="TableParagraph"/>
              <w:spacing w:before="106" w:line="432" w:lineRule="auto"/>
              <w:ind w:right="359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María Magdalena Morales Sarmiento</w:t>
            </w:r>
          </w:p>
        </w:tc>
        <w:tc>
          <w:tcPr>
            <w:tcW w:w="3329" w:type="dxa"/>
          </w:tcPr>
          <w:p w:rsidR="00A903F5" w:rsidRDefault="008A4300" w:rsidP="00CB293E">
            <w:pPr>
              <w:pStyle w:val="TableParagraph"/>
              <w:spacing w:before="105" w:after="240" w:line="360" w:lineRule="auto"/>
              <w:ind w:left="170" w:right="4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28 de mayo de 2019 se radicó oficio ante la instancia judicial informando las entidades financieras que no se han pronunciado sobre la solicitud judicial de embar</w:t>
            </w:r>
            <w:r w:rsidR="00A903F5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 xml:space="preserve">o de cuentas </w:t>
            </w:r>
            <w:r w:rsidR="00A903F5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productos financieros a nombre de la demandada</w:t>
            </w:r>
            <w:r w:rsidR="00A903F5">
              <w:rPr>
                <w:sz w:val="16"/>
                <w:szCs w:val="16"/>
              </w:rPr>
              <w:t>.</w:t>
            </w:r>
          </w:p>
          <w:p w:rsidR="00FF12B2" w:rsidRPr="00AC46AD" w:rsidRDefault="00A903F5" w:rsidP="00CB293E">
            <w:pPr>
              <w:pStyle w:val="TableParagraph"/>
              <w:spacing w:before="105" w:after="240" w:line="360" w:lineRule="auto"/>
              <w:ind w:left="170" w:right="4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la fecha se está a la espera de que la instancia judicial elabore los respectivos oficios con el fin de retirar y radicar en cada entidad financiera, así como en la Oficina de Instrumentos públicos </w:t>
            </w:r>
            <w:r w:rsidR="008A4300">
              <w:rPr>
                <w:sz w:val="16"/>
                <w:szCs w:val="16"/>
              </w:rPr>
              <w:t xml:space="preserve"> </w:t>
            </w:r>
            <w:r w:rsidR="00FF12B2" w:rsidRPr="00AC46A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349" w:type="dxa"/>
          </w:tcPr>
          <w:p w:rsidR="00FC3AA7" w:rsidRPr="00AC46AD" w:rsidRDefault="00A979B1">
            <w:pPr>
              <w:pStyle w:val="TableParagraph"/>
              <w:spacing w:before="106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$ 705.168.401</w:t>
            </w:r>
          </w:p>
        </w:tc>
        <w:tc>
          <w:tcPr>
            <w:tcW w:w="2231" w:type="dxa"/>
          </w:tcPr>
          <w:p w:rsidR="00FC3AA7" w:rsidRPr="00AC46AD" w:rsidRDefault="00A979B1">
            <w:pPr>
              <w:pStyle w:val="TableParagraph"/>
              <w:spacing w:before="99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Bajo</w:t>
            </w:r>
          </w:p>
        </w:tc>
      </w:tr>
      <w:tr w:rsidR="00FC3AA7" w:rsidRPr="00AC46AD" w:rsidTr="00AC46AD">
        <w:trPr>
          <w:trHeight w:val="741"/>
        </w:trPr>
        <w:tc>
          <w:tcPr>
            <w:tcW w:w="2765" w:type="dxa"/>
          </w:tcPr>
          <w:p w:rsidR="00FC3AA7" w:rsidRPr="00AC46AD" w:rsidRDefault="00A979B1">
            <w:pPr>
              <w:pStyle w:val="TableParagraph"/>
              <w:spacing w:before="138" w:line="393" w:lineRule="auto"/>
              <w:ind w:left="355" w:right="512" w:hanging="248"/>
              <w:rPr>
                <w:b/>
                <w:sz w:val="16"/>
                <w:szCs w:val="16"/>
              </w:rPr>
            </w:pPr>
            <w:r w:rsidRPr="00AC46AD">
              <w:rPr>
                <w:b/>
                <w:w w:val="90"/>
                <w:sz w:val="16"/>
                <w:szCs w:val="16"/>
              </w:rPr>
              <w:t xml:space="preserve">2. Proceso administrativo </w:t>
            </w:r>
            <w:r w:rsidRPr="00AC46AD">
              <w:rPr>
                <w:b/>
                <w:sz w:val="16"/>
                <w:szCs w:val="16"/>
              </w:rPr>
              <w:t>nulidad simple</w:t>
            </w:r>
          </w:p>
        </w:tc>
        <w:tc>
          <w:tcPr>
            <w:tcW w:w="2932" w:type="dxa"/>
          </w:tcPr>
          <w:p w:rsidR="00FC3AA7" w:rsidRPr="00AC46AD" w:rsidRDefault="00A979B1">
            <w:pPr>
              <w:pStyle w:val="TableParagraph"/>
              <w:ind w:left="105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Pedro Emilio Rodríguez Velandía</w:t>
            </w:r>
          </w:p>
        </w:tc>
        <w:tc>
          <w:tcPr>
            <w:tcW w:w="3144" w:type="dxa"/>
          </w:tcPr>
          <w:p w:rsidR="00FC3AA7" w:rsidRPr="00AC46AD" w:rsidRDefault="00A979B1">
            <w:pPr>
              <w:pStyle w:val="TableParagraph"/>
              <w:spacing w:line="434" w:lineRule="auto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Instituto para la investigación Educativa y el Desarrollo Pedagógico – IDEP.</w:t>
            </w:r>
          </w:p>
        </w:tc>
        <w:tc>
          <w:tcPr>
            <w:tcW w:w="3329" w:type="dxa"/>
          </w:tcPr>
          <w:p w:rsidR="00FC3AA7" w:rsidRPr="00AC46AD" w:rsidRDefault="00FC3AA7" w:rsidP="008948E1">
            <w:pPr>
              <w:pStyle w:val="TableParagraph"/>
              <w:spacing w:before="0"/>
              <w:ind w:left="0"/>
              <w:jc w:val="both"/>
              <w:rPr>
                <w:sz w:val="16"/>
                <w:szCs w:val="16"/>
              </w:rPr>
            </w:pPr>
          </w:p>
          <w:p w:rsidR="00FC3AA7" w:rsidRPr="00AC46AD" w:rsidRDefault="00FF12B2" w:rsidP="00CB293E">
            <w:pPr>
              <w:pStyle w:val="TableParagraph"/>
              <w:spacing w:before="105" w:after="240" w:line="360" w:lineRule="auto"/>
              <w:ind w:left="170" w:right="415"/>
              <w:jc w:val="both"/>
              <w:rPr>
                <w:sz w:val="16"/>
                <w:szCs w:val="16"/>
                <w:lang w:val="es-419"/>
              </w:rPr>
            </w:pPr>
            <w:r w:rsidRPr="00AC46AD">
              <w:rPr>
                <w:sz w:val="16"/>
                <w:szCs w:val="16"/>
              </w:rPr>
              <w:t xml:space="preserve">Demanda de nulidad simple </w:t>
            </w:r>
            <w:r w:rsidR="008948E1" w:rsidRPr="00AC46AD">
              <w:rPr>
                <w:sz w:val="16"/>
                <w:szCs w:val="16"/>
              </w:rPr>
              <w:t xml:space="preserve">Al Despacho para </w:t>
            </w:r>
            <w:r w:rsidR="004A4DC0" w:rsidRPr="00AC46AD">
              <w:rPr>
                <w:sz w:val="16"/>
                <w:szCs w:val="16"/>
              </w:rPr>
              <w:t>decisión de fondo</w:t>
            </w:r>
          </w:p>
        </w:tc>
        <w:tc>
          <w:tcPr>
            <w:tcW w:w="1349" w:type="dxa"/>
          </w:tcPr>
          <w:p w:rsidR="00FC3AA7" w:rsidRPr="00AC46AD" w:rsidRDefault="00A979B1">
            <w:pPr>
              <w:pStyle w:val="TableParagraph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N.A.</w:t>
            </w:r>
          </w:p>
        </w:tc>
        <w:tc>
          <w:tcPr>
            <w:tcW w:w="2231" w:type="dxa"/>
          </w:tcPr>
          <w:p w:rsidR="00FC3AA7" w:rsidRPr="00AC46AD" w:rsidRDefault="00A979B1">
            <w:pPr>
              <w:pStyle w:val="TableParagraph"/>
              <w:spacing w:before="96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Bajo</w:t>
            </w:r>
          </w:p>
        </w:tc>
      </w:tr>
      <w:tr w:rsidR="00FC3AA7" w:rsidRPr="00AC46AD" w:rsidTr="00AC46AD">
        <w:trPr>
          <w:trHeight w:val="862"/>
        </w:trPr>
        <w:tc>
          <w:tcPr>
            <w:tcW w:w="2765" w:type="dxa"/>
          </w:tcPr>
          <w:p w:rsidR="00FC3AA7" w:rsidRPr="00AC46AD" w:rsidRDefault="00A979B1">
            <w:pPr>
              <w:pStyle w:val="TableParagraph"/>
              <w:spacing w:before="138" w:line="393" w:lineRule="auto"/>
              <w:ind w:left="355" w:right="512" w:hanging="248"/>
              <w:rPr>
                <w:b/>
                <w:sz w:val="16"/>
                <w:szCs w:val="16"/>
              </w:rPr>
            </w:pPr>
            <w:r w:rsidRPr="00AC46AD">
              <w:rPr>
                <w:b/>
                <w:w w:val="95"/>
                <w:sz w:val="16"/>
                <w:szCs w:val="16"/>
              </w:rPr>
              <w:t xml:space="preserve">3. Demanda de reparación </w:t>
            </w:r>
            <w:r w:rsidRPr="00AC46AD">
              <w:rPr>
                <w:b/>
                <w:sz w:val="16"/>
                <w:szCs w:val="16"/>
              </w:rPr>
              <w:t>directa</w:t>
            </w:r>
          </w:p>
        </w:tc>
        <w:tc>
          <w:tcPr>
            <w:tcW w:w="2932" w:type="dxa"/>
          </w:tcPr>
          <w:p w:rsidR="00FC3AA7" w:rsidRPr="00AC46AD" w:rsidRDefault="00A979B1">
            <w:pPr>
              <w:pStyle w:val="TableParagraph"/>
              <w:ind w:left="105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Empresa de telecomunicaciones de Bogotá – E.T.B.</w:t>
            </w:r>
          </w:p>
        </w:tc>
        <w:tc>
          <w:tcPr>
            <w:tcW w:w="3144" w:type="dxa"/>
          </w:tcPr>
          <w:p w:rsidR="00FC3AA7" w:rsidRPr="00AC46AD" w:rsidRDefault="00A979B1">
            <w:pPr>
              <w:pStyle w:val="TableParagraph"/>
              <w:spacing w:line="434" w:lineRule="auto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Instituto para la investigación Educativa y el Desarrollo Pedagógico – IDEP.</w:t>
            </w:r>
          </w:p>
        </w:tc>
        <w:tc>
          <w:tcPr>
            <w:tcW w:w="3329" w:type="dxa"/>
          </w:tcPr>
          <w:p w:rsidR="00FC3AA7" w:rsidRPr="00AC46AD" w:rsidRDefault="00A903F5" w:rsidP="00A903F5">
            <w:pPr>
              <w:pStyle w:val="TableParagraph"/>
              <w:spacing w:before="105" w:after="240" w:line="360" w:lineRule="auto"/>
              <w:ind w:right="4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la fecha se encuentra en decisión de fondo por parte del Juzgado sesenta y uno (61) Administrativo del Circuito Judicial de Bogotá </w:t>
            </w:r>
          </w:p>
        </w:tc>
        <w:tc>
          <w:tcPr>
            <w:tcW w:w="1349" w:type="dxa"/>
          </w:tcPr>
          <w:p w:rsidR="00FC3AA7" w:rsidRPr="00AC46AD" w:rsidRDefault="00A979B1">
            <w:pPr>
              <w:pStyle w:val="TableParagraph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$6.984.854</w:t>
            </w:r>
          </w:p>
        </w:tc>
        <w:tc>
          <w:tcPr>
            <w:tcW w:w="2231" w:type="dxa"/>
          </w:tcPr>
          <w:p w:rsidR="00FC3AA7" w:rsidRPr="00AC46AD" w:rsidRDefault="00A979B1">
            <w:pPr>
              <w:pStyle w:val="TableParagraph"/>
              <w:spacing w:before="96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Bajo</w:t>
            </w:r>
          </w:p>
        </w:tc>
      </w:tr>
      <w:tr w:rsidR="00FC3AA7" w:rsidRPr="00AC46AD" w:rsidTr="00AC46AD">
        <w:trPr>
          <w:trHeight w:val="1084"/>
        </w:trPr>
        <w:tc>
          <w:tcPr>
            <w:tcW w:w="2765" w:type="dxa"/>
          </w:tcPr>
          <w:p w:rsidR="00FC3AA7" w:rsidRPr="00AC46AD" w:rsidRDefault="00A979B1" w:rsidP="00454049">
            <w:pPr>
              <w:pStyle w:val="TableParagraph"/>
              <w:spacing w:before="138" w:line="393" w:lineRule="auto"/>
              <w:ind w:left="355" w:right="369" w:hanging="248"/>
              <w:rPr>
                <w:b/>
                <w:sz w:val="16"/>
                <w:szCs w:val="16"/>
              </w:rPr>
            </w:pPr>
            <w:r w:rsidRPr="00AC46AD">
              <w:rPr>
                <w:b/>
                <w:w w:val="95"/>
                <w:sz w:val="16"/>
                <w:szCs w:val="16"/>
              </w:rPr>
              <w:lastRenderedPageBreak/>
              <w:t>4.</w:t>
            </w:r>
            <w:r w:rsidRPr="00AC46AD">
              <w:rPr>
                <w:b/>
                <w:spacing w:val="-7"/>
                <w:w w:val="95"/>
                <w:sz w:val="16"/>
                <w:szCs w:val="16"/>
              </w:rPr>
              <w:t xml:space="preserve"> </w:t>
            </w:r>
            <w:r w:rsidR="00454049">
              <w:rPr>
                <w:b/>
                <w:w w:val="95"/>
                <w:sz w:val="16"/>
                <w:szCs w:val="16"/>
              </w:rPr>
              <w:t>Incidente de reparación Integral</w:t>
            </w:r>
          </w:p>
        </w:tc>
        <w:tc>
          <w:tcPr>
            <w:tcW w:w="2932" w:type="dxa"/>
          </w:tcPr>
          <w:p w:rsidR="00FC3AA7" w:rsidRPr="00AC46AD" w:rsidRDefault="00A979B1">
            <w:pPr>
              <w:pStyle w:val="TableParagraph"/>
              <w:spacing w:line="436" w:lineRule="auto"/>
              <w:ind w:left="105" w:right="87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Instituto para la investigación Educativa y el Desarrollo Pedagógico – IDEP.</w:t>
            </w:r>
          </w:p>
        </w:tc>
        <w:tc>
          <w:tcPr>
            <w:tcW w:w="3144" w:type="dxa"/>
          </w:tcPr>
          <w:p w:rsidR="00FC3AA7" w:rsidRPr="00AC46AD" w:rsidRDefault="00A979B1">
            <w:pPr>
              <w:pStyle w:val="TableParagraph"/>
              <w:spacing w:line="436" w:lineRule="auto"/>
              <w:ind w:right="491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Juan Francisco Salcedo Reyes</w:t>
            </w:r>
          </w:p>
        </w:tc>
        <w:tc>
          <w:tcPr>
            <w:tcW w:w="3329" w:type="dxa"/>
          </w:tcPr>
          <w:p w:rsidR="008948E1" w:rsidRDefault="002128A5" w:rsidP="00A903F5">
            <w:pPr>
              <w:pStyle w:val="TableParagraph"/>
              <w:spacing w:line="436" w:lineRule="auto"/>
              <w:ind w:left="170" w:right="98" w:hanging="44"/>
              <w:jc w:val="both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 xml:space="preserve">El </w:t>
            </w:r>
            <w:r w:rsidR="005C3720">
              <w:rPr>
                <w:sz w:val="16"/>
                <w:szCs w:val="16"/>
              </w:rPr>
              <w:t>1</w:t>
            </w:r>
            <w:r w:rsidR="00A903F5">
              <w:rPr>
                <w:sz w:val="16"/>
                <w:szCs w:val="16"/>
              </w:rPr>
              <w:t>2 de julio de 2019 a las 11:00 a.m. se llevó a cabo la primera audiencia de Incidente de Reparación Integral – IRI</w:t>
            </w:r>
            <w:r w:rsidR="00454049">
              <w:rPr>
                <w:sz w:val="16"/>
                <w:szCs w:val="16"/>
              </w:rPr>
              <w:t xml:space="preserve"> ante el juzgado 40 Penal del Circuito de Bogotá con Función de Conocimiento, </w:t>
            </w:r>
            <w:r w:rsidR="00A903F5">
              <w:rPr>
                <w:sz w:val="16"/>
                <w:szCs w:val="16"/>
              </w:rPr>
              <w:t>Como pretensión principal se estableció el pago de la suma de Ocho millones novecientos veintiún mil trescientos sesenta pesos</w:t>
            </w:r>
            <w:r w:rsidR="005C3720">
              <w:rPr>
                <w:sz w:val="16"/>
                <w:szCs w:val="16"/>
              </w:rPr>
              <w:t xml:space="preserve"> </w:t>
            </w:r>
            <w:r w:rsidR="00A903F5">
              <w:rPr>
                <w:sz w:val="16"/>
                <w:szCs w:val="16"/>
              </w:rPr>
              <w:t>($8.921.360), como reconocimiento de lucro cesante al IDEP en su calidad de víctima, producto de la sentencia condenatoria.</w:t>
            </w:r>
          </w:p>
          <w:p w:rsidR="00A903F5" w:rsidRPr="00AC46AD" w:rsidRDefault="00A903F5" w:rsidP="00454049">
            <w:pPr>
              <w:pStyle w:val="TableParagraph"/>
              <w:spacing w:line="436" w:lineRule="auto"/>
              <w:ind w:left="170" w:right="98" w:hanging="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Juzgado fija fecha para </w:t>
            </w:r>
            <w:r w:rsidRPr="00172C68">
              <w:rPr>
                <w:sz w:val="16"/>
                <w:szCs w:val="16"/>
              </w:rPr>
              <w:t>el 1 de agosto de 2019</w:t>
            </w:r>
            <w:r>
              <w:rPr>
                <w:sz w:val="16"/>
                <w:szCs w:val="16"/>
              </w:rPr>
              <w:t xml:space="preserve"> a las 4:00 p.m. para llevar</w:t>
            </w:r>
            <w:r w:rsidR="00D4098B">
              <w:rPr>
                <w:sz w:val="16"/>
                <w:szCs w:val="16"/>
              </w:rPr>
              <w:t xml:space="preserve"> a</w:t>
            </w:r>
            <w:r>
              <w:rPr>
                <w:sz w:val="16"/>
                <w:szCs w:val="16"/>
              </w:rPr>
              <w:t xml:space="preserve"> cabo la segunda audiencia de I</w:t>
            </w:r>
            <w:r w:rsidR="00454049">
              <w:rPr>
                <w:sz w:val="16"/>
                <w:szCs w:val="16"/>
              </w:rPr>
              <w:t>ncidente de Reparación Integral, aplazada para el 30 de septiembre.</w:t>
            </w:r>
          </w:p>
        </w:tc>
        <w:tc>
          <w:tcPr>
            <w:tcW w:w="1349" w:type="dxa"/>
          </w:tcPr>
          <w:p w:rsidR="00FC3AA7" w:rsidRPr="00AC46AD" w:rsidRDefault="009E0EEF" w:rsidP="000F5281">
            <w:pPr>
              <w:pStyle w:val="TableParagraph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$</w:t>
            </w:r>
            <w:r w:rsidR="000F5281">
              <w:rPr>
                <w:sz w:val="16"/>
                <w:szCs w:val="16"/>
              </w:rPr>
              <w:t>8.921.360</w:t>
            </w:r>
          </w:p>
        </w:tc>
        <w:tc>
          <w:tcPr>
            <w:tcW w:w="2231" w:type="dxa"/>
          </w:tcPr>
          <w:p w:rsidR="00FC3AA7" w:rsidRPr="00AC46AD" w:rsidRDefault="000409CD">
            <w:pPr>
              <w:pStyle w:val="TableParagraph"/>
              <w:spacing w:before="96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Bajo</w:t>
            </w:r>
          </w:p>
        </w:tc>
      </w:tr>
      <w:tr w:rsidR="000B2A22" w:rsidRPr="00AC46AD" w:rsidTr="00AC46AD">
        <w:trPr>
          <w:trHeight w:val="2060"/>
        </w:trPr>
        <w:tc>
          <w:tcPr>
            <w:tcW w:w="2765" w:type="dxa"/>
          </w:tcPr>
          <w:p w:rsidR="000B2A22" w:rsidRPr="00AC46AD" w:rsidRDefault="009E0EEF" w:rsidP="009E0EEF">
            <w:pPr>
              <w:pStyle w:val="TableParagraph"/>
              <w:spacing w:before="138" w:line="393" w:lineRule="auto"/>
              <w:ind w:left="355" w:right="369" w:hanging="248"/>
              <w:rPr>
                <w:b/>
                <w:w w:val="95"/>
                <w:sz w:val="16"/>
                <w:szCs w:val="16"/>
              </w:rPr>
            </w:pPr>
            <w:r w:rsidRPr="00AC46AD">
              <w:rPr>
                <w:b/>
                <w:w w:val="95"/>
                <w:sz w:val="16"/>
                <w:szCs w:val="16"/>
              </w:rPr>
              <w:t xml:space="preserve">5.  Proceso laboral </w:t>
            </w:r>
          </w:p>
        </w:tc>
        <w:tc>
          <w:tcPr>
            <w:tcW w:w="2932" w:type="dxa"/>
          </w:tcPr>
          <w:p w:rsidR="000B2A22" w:rsidRPr="00AC46AD" w:rsidRDefault="005C4892">
            <w:pPr>
              <w:pStyle w:val="TableParagraph"/>
              <w:spacing w:line="436" w:lineRule="auto"/>
              <w:ind w:left="105" w:right="87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Instituto para la investigación Educativa y el Desarrollo Pedagógico – IDEP.</w:t>
            </w:r>
          </w:p>
        </w:tc>
        <w:tc>
          <w:tcPr>
            <w:tcW w:w="3144" w:type="dxa"/>
          </w:tcPr>
          <w:p w:rsidR="000B2A22" w:rsidRPr="00AC46AD" w:rsidRDefault="005C4892">
            <w:pPr>
              <w:pStyle w:val="TableParagraph"/>
              <w:spacing w:line="436" w:lineRule="auto"/>
              <w:ind w:right="491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 xml:space="preserve">Liberty Seguros S.A. </w:t>
            </w:r>
          </w:p>
        </w:tc>
        <w:tc>
          <w:tcPr>
            <w:tcW w:w="3329" w:type="dxa"/>
          </w:tcPr>
          <w:p w:rsidR="000B2A22" w:rsidRPr="00AC46AD" w:rsidRDefault="009E0EEF" w:rsidP="00AC46AD">
            <w:pPr>
              <w:pStyle w:val="TableParagraph"/>
              <w:spacing w:line="436" w:lineRule="auto"/>
              <w:ind w:left="170" w:right="98" w:hanging="44"/>
              <w:jc w:val="both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 xml:space="preserve">El </w:t>
            </w:r>
            <w:r w:rsidR="005C4892" w:rsidRPr="00AC46AD">
              <w:rPr>
                <w:sz w:val="16"/>
                <w:szCs w:val="16"/>
              </w:rPr>
              <w:t>Consejo Superior de la Judicatura</w:t>
            </w:r>
            <w:r w:rsidRPr="00AC46AD">
              <w:rPr>
                <w:sz w:val="16"/>
                <w:szCs w:val="16"/>
              </w:rPr>
              <w:t xml:space="preserve"> dirimió </w:t>
            </w:r>
            <w:r w:rsidR="005C4892" w:rsidRPr="00AC46AD">
              <w:rPr>
                <w:sz w:val="16"/>
                <w:szCs w:val="16"/>
              </w:rPr>
              <w:t>el conflicto negativo de competencias</w:t>
            </w:r>
            <w:r w:rsidRPr="00AC46AD">
              <w:rPr>
                <w:sz w:val="16"/>
                <w:szCs w:val="16"/>
              </w:rPr>
              <w:t xml:space="preserve">, decidiendo que quien conoce </w:t>
            </w:r>
            <w:r w:rsidR="003E6D8C" w:rsidRPr="00AC46AD">
              <w:rPr>
                <w:sz w:val="16"/>
                <w:szCs w:val="16"/>
              </w:rPr>
              <w:t>d</w:t>
            </w:r>
            <w:r w:rsidRPr="00AC46AD">
              <w:rPr>
                <w:sz w:val="16"/>
                <w:szCs w:val="16"/>
              </w:rPr>
              <w:t xml:space="preserve">el proceso es el Juzgado 1 Laboral del Circuito, a la fecha se encuentra pendiente de calificación de la admisión de la demanda </w:t>
            </w:r>
          </w:p>
          <w:p w:rsidR="009E0EEF" w:rsidRPr="00AC46AD" w:rsidRDefault="009E0EEF" w:rsidP="008948E1">
            <w:pPr>
              <w:pStyle w:val="TableParagraph"/>
              <w:spacing w:line="436" w:lineRule="auto"/>
              <w:ind w:left="38" w:right="98" w:firstLine="88"/>
              <w:jc w:val="both"/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0B2A22" w:rsidRPr="00AC46AD" w:rsidRDefault="009E0EEF">
            <w:pPr>
              <w:pStyle w:val="TableParagraph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Por definir</w:t>
            </w:r>
          </w:p>
        </w:tc>
        <w:tc>
          <w:tcPr>
            <w:tcW w:w="2231" w:type="dxa"/>
          </w:tcPr>
          <w:p w:rsidR="000B2A22" w:rsidRPr="00AC46AD" w:rsidRDefault="005C4892">
            <w:pPr>
              <w:pStyle w:val="TableParagraph"/>
              <w:spacing w:before="96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Medio</w:t>
            </w:r>
          </w:p>
        </w:tc>
      </w:tr>
      <w:tr w:rsidR="009E0EEF" w:rsidRPr="00AC46AD" w:rsidTr="00AC46AD">
        <w:trPr>
          <w:trHeight w:val="1828"/>
        </w:trPr>
        <w:tc>
          <w:tcPr>
            <w:tcW w:w="2765" w:type="dxa"/>
          </w:tcPr>
          <w:p w:rsidR="009E0EEF" w:rsidRPr="00AC46AD" w:rsidRDefault="009E0EEF" w:rsidP="005C4892">
            <w:pPr>
              <w:pStyle w:val="TableParagraph"/>
              <w:spacing w:before="138" w:line="393" w:lineRule="auto"/>
              <w:ind w:left="355" w:right="369" w:hanging="248"/>
              <w:rPr>
                <w:b/>
                <w:w w:val="95"/>
                <w:sz w:val="16"/>
                <w:szCs w:val="16"/>
              </w:rPr>
            </w:pPr>
            <w:r w:rsidRPr="00AC46AD">
              <w:rPr>
                <w:b/>
                <w:w w:val="95"/>
                <w:sz w:val="16"/>
                <w:szCs w:val="16"/>
              </w:rPr>
              <w:t xml:space="preserve">6. Tutela </w:t>
            </w:r>
          </w:p>
        </w:tc>
        <w:tc>
          <w:tcPr>
            <w:tcW w:w="2932" w:type="dxa"/>
          </w:tcPr>
          <w:p w:rsidR="009E0EEF" w:rsidRPr="00A903F5" w:rsidRDefault="009E0EEF" w:rsidP="009E0EEF">
            <w:pPr>
              <w:pStyle w:val="TableParagraph"/>
              <w:spacing w:line="436" w:lineRule="auto"/>
              <w:ind w:left="105" w:right="87"/>
              <w:rPr>
                <w:sz w:val="16"/>
                <w:szCs w:val="16"/>
              </w:rPr>
            </w:pPr>
            <w:r w:rsidRPr="00A903F5">
              <w:rPr>
                <w:sz w:val="16"/>
                <w:szCs w:val="16"/>
              </w:rPr>
              <w:t xml:space="preserve">Diana Marcela Zarabanda Suarez </w:t>
            </w:r>
          </w:p>
        </w:tc>
        <w:tc>
          <w:tcPr>
            <w:tcW w:w="3144" w:type="dxa"/>
          </w:tcPr>
          <w:p w:rsidR="009E0EEF" w:rsidRPr="00A903F5" w:rsidRDefault="009E0EEF">
            <w:pPr>
              <w:pStyle w:val="TableParagraph"/>
              <w:spacing w:line="436" w:lineRule="auto"/>
              <w:ind w:right="491"/>
              <w:rPr>
                <w:sz w:val="16"/>
                <w:szCs w:val="16"/>
              </w:rPr>
            </w:pPr>
            <w:r w:rsidRPr="00A903F5">
              <w:rPr>
                <w:sz w:val="16"/>
                <w:szCs w:val="16"/>
              </w:rPr>
              <w:t>CNSC y otras entidades incluyendo el Instituto para la investigación Educativa y el Desarrollo Pedagógico – IDEP</w:t>
            </w:r>
          </w:p>
        </w:tc>
        <w:tc>
          <w:tcPr>
            <w:tcW w:w="3329" w:type="dxa"/>
          </w:tcPr>
          <w:p w:rsidR="008948E1" w:rsidRPr="00172C68" w:rsidRDefault="00D4098B" w:rsidP="00AC46AD">
            <w:pPr>
              <w:pStyle w:val="TableParagraph"/>
              <w:spacing w:line="436" w:lineRule="auto"/>
              <w:ind w:left="170" w:right="98" w:hanging="44"/>
              <w:jc w:val="both"/>
              <w:rPr>
                <w:sz w:val="16"/>
                <w:szCs w:val="16"/>
              </w:rPr>
            </w:pPr>
            <w:r w:rsidRPr="00172C68">
              <w:rPr>
                <w:sz w:val="16"/>
                <w:szCs w:val="16"/>
              </w:rPr>
              <w:t xml:space="preserve">Fallo </w:t>
            </w:r>
            <w:r w:rsidR="000F5281">
              <w:rPr>
                <w:sz w:val="16"/>
                <w:szCs w:val="16"/>
              </w:rPr>
              <w:t>a favor de los tutelados</w:t>
            </w:r>
          </w:p>
        </w:tc>
        <w:tc>
          <w:tcPr>
            <w:tcW w:w="1349" w:type="dxa"/>
          </w:tcPr>
          <w:p w:rsidR="009E0EEF" w:rsidRPr="00172C68" w:rsidRDefault="000409CD">
            <w:pPr>
              <w:pStyle w:val="TableParagraph"/>
              <w:rPr>
                <w:sz w:val="16"/>
                <w:szCs w:val="16"/>
              </w:rPr>
            </w:pPr>
            <w:r w:rsidRPr="00172C68">
              <w:rPr>
                <w:sz w:val="16"/>
                <w:szCs w:val="16"/>
              </w:rPr>
              <w:t>N/A</w:t>
            </w:r>
          </w:p>
        </w:tc>
        <w:tc>
          <w:tcPr>
            <w:tcW w:w="2231" w:type="dxa"/>
          </w:tcPr>
          <w:p w:rsidR="009E0EEF" w:rsidRPr="00172C68" w:rsidRDefault="000409CD">
            <w:pPr>
              <w:pStyle w:val="TableParagraph"/>
              <w:spacing w:before="96"/>
              <w:rPr>
                <w:sz w:val="16"/>
                <w:szCs w:val="16"/>
              </w:rPr>
            </w:pPr>
            <w:r w:rsidRPr="00172C68">
              <w:rPr>
                <w:sz w:val="16"/>
                <w:szCs w:val="16"/>
              </w:rPr>
              <w:t>Bajo</w:t>
            </w:r>
          </w:p>
        </w:tc>
      </w:tr>
      <w:tr w:rsidR="00B23072" w:rsidRPr="00AC46AD" w:rsidTr="00AC46AD">
        <w:trPr>
          <w:trHeight w:val="1828"/>
        </w:trPr>
        <w:tc>
          <w:tcPr>
            <w:tcW w:w="2765" w:type="dxa"/>
          </w:tcPr>
          <w:p w:rsidR="00B23072" w:rsidRPr="00AC46AD" w:rsidRDefault="00B23072" w:rsidP="00B23072">
            <w:pPr>
              <w:pStyle w:val="TableParagraph"/>
              <w:spacing w:before="138" w:line="393" w:lineRule="auto"/>
              <w:ind w:left="355" w:right="369" w:hanging="248"/>
              <w:rPr>
                <w:b/>
                <w:w w:val="95"/>
                <w:sz w:val="16"/>
                <w:szCs w:val="16"/>
              </w:rPr>
            </w:pPr>
            <w:r w:rsidRPr="00AC46AD">
              <w:rPr>
                <w:b/>
                <w:w w:val="95"/>
                <w:sz w:val="16"/>
                <w:szCs w:val="16"/>
              </w:rPr>
              <w:lastRenderedPageBreak/>
              <w:t xml:space="preserve">6. Tutela </w:t>
            </w:r>
          </w:p>
        </w:tc>
        <w:tc>
          <w:tcPr>
            <w:tcW w:w="2932" w:type="dxa"/>
          </w:tcPr>
          <w:p w:rsidR="00B23072" w:rsidRPr="00A903F5" w:rsidRDefault="00B23072" w:rsidP="00B23072">
            <w:pPr>
              <w:pStyle w:val="TableParagraph"/>
              <w:spacing w:line="436" w:lineRule="auto"/>
              <w:ind w:left="105" w:right="87"/>
              <w:rPr>
                <w:sz w:val="16"/>
                <w:szCs w:val="16"/>
              </w:rPr>
            </w:pPr>
            <w:r w:rsidRPr="00A903F5">
              <w:rPr>
                <w:sz w:val="16"/>
                <w:szCs w:val="16"/>
              </w:rPr>
              <w:t>Martha Liliana Montoya Hurtado</w:t>
            </w:r>
          </w:p>
        </w:tc>
        <w:tc>
          <w:tcPr>
            <w:tcW w:w="3144" w:type="dxa"/>
          </w:tcPr>
          <w:p w:rsidR="00B23072" w:rsidRPr="00A903F5" w:rsidRDefault="00B23072" w:rsidP="00B23072">
            <w:pPr>
              <w:pStyle w:val="TableParagraph"/>
              <w:spacing w:line="436" w:lineRule="auto"/>
              <w:ind w:right="491"/>
              <w:rPr>
                <w:sz w:val="16"/>
                <w:szCs w:val="16"/>
              </w:rPr>
            </w:pPr>
            <w:r w:rsidRPr="00A903F5">
              <w:rPr>
                <w:sz w:val="16"/>
                <w:szCs w:val="16"/>
              </w:rPr>
              <w:t>CNSC y otras entidades incluyendo el Instituto para la investigación Educativa y el Desarrollo Pedagógico – IDEP</w:t>
            </w:r>
          </w:p>
        </w:tc>
        <w:tc>
          <w:tcPr>
            <w:tcW w:w="3329" w:type="dxa"/>
          </w:tcPr>
          <w:p w:rsidR="00B23072" w:rsidRPr="00172C68" w:rsidRDefault="00B23072" w:rsidP="00B23072">
            <w:pPr>
              <w:pStyle w:val="TableParagraph"/>
              <w:spacing w:line="436" w:lineRule="auto"/>
              <w:ind w:left="170" w:right="98" w:hanging="44"/>
              <w:jc w:val="both"/>
              <w:rPr>
                <w:sz w:val="16"/>
                <w:szCs w:val="16"/>
              </w:rPr>
            </w:pPr>
            <w:r w:rsidRPr="00172C68">
              <w:rPr>
                <w:sz w:val="16"/>
                <w:szCs w:val="16"/>
              </w:rPr>
              <w:t xml:space="preserve">Fallo </w:t>
            </w:r>
            <w:r>
              <w:rPr>
                <w:sz w:val="16"/>
                <w:szCs w:val="16"/>
              </w:rPr>
              <w:t>a favor de los tutelados</w:t>
            </w:r>
          </w:p>
        </w:tc>
        <w:tc>
          <w:tcPr>
            <w:tcW w:w="1349" w:type="dxa"/>
          </w:tcPr>
          <w:p w:rsidR="00B23072" w:rsidRPr="00172C68" w:rsidRDefault="00B23072" w:rsidP="00B23072">
            <w:pPr>
              <w:pStyle w:val="TableParagraph"/>
              <w:rPr>
                <w:sz w:val="16"/>
                <w:szCs w:val="16"/>
              </w:rPr>
            </w:pPr>
            <w:r w:rsidRPr="00172C68">
              <w:rPr>
                <w:sz w:val="16"/>
                <w:szCs w:val="16"/>
              </w:rPr>
              <w:t>N/A</w:t>
            </w:r>
          </w:p>
        </w:tc>
        <w:tc>
          <w:tcPr>
            <w:tcW w:w="2231" w:type="dxa"/>
          </w:tcPr>
          <w:p w:rsidR="00B23072" w:rsidRPr="00172C68" w:rsidRDefault="00B23072" w:rsidP="00B23072">
            <w:pPr>
              <w:pStyle w:val="TableParagraph"/>
              <w:spacing w:before="96"/>
              <w:rPr>
                <w:sz w:val="16"/>
                <w:szCs w:val="16"/>
              </w:rPr>
            </w:pPr>
            <w:r w:rsidRPr="00172C68">
              <w:rPr>
                <w:sz w:val="16"/>
                <w:szCs w:val="16"/>
              </w:rPr>
              <w:t>Bajo</w:t>
            </w:r>
          </w:p>
        </w:tc>
      </w:tr>
      <w:tr w:rsidR="00B23072" w:rsidRPr="00AC46AD" w:rsidTr="00AC46AD">
        <w:trPr>
          <w:trHeight w:val="276"/>
        </w:trPr>
        <w:tc>
          <w:tcPr>
            <w:tcW w:w="2765" w:type="dxa"/>
          </w:tcPr>
          <w:p w:rsidR="00B23072" w:rsidRPr="00AC46AD" w:rsidRDefault="00B23072" w:rsidP="00B23072">
            <w:pPr>
              <w:pStyle w:val="TableParagraph"/>
              <w:spacing w:before="138" w:line="393" w:lineRule="auto"/>
              <w:ind w:left="355" w:right="369" w:hanging="248"/>
              <w:rPr>
                <w:b/>
                <w:w w:val="95"/>
                <w:sz w:val="16"/>
                <w:szCs w:val="16"/>
              </w:rPr>
            </w:pPr>
            <w:r w:rsidRPr="00AC46AD">
              <w:rPr>
                <w:b/>
                <w:w w:val="95"/>
                <w:sz w:val="16"/>
                <w:szCs w:val="16"/>
              </w:rPr>
              <w:t xml:space="preserve">6. Tutela </w:t>
            </w:r>
          </w:p>
        </w:tc>
        <w:tc>
          <w:tcPr>
            <w:tcW w:w="2932" w:type="dxa"/>
          </w:tcPr>
          <w:p w:rsidR="00B23072" w:rsidRPr="00A903F5" w:rsidRDefault="00B23072" w:rsidP="00B23072">
            <w:pPr>
              <w:pStyle w:val="TableParagraph"/>
              <w:spacing w:line="436" w:lineRule="auto"/>
              <w:ind w:left="105" w:right="87"/>
              <w:rPr>
                <w:sz w:val="16"/>
                <w:szCs w:val="16"/>
              </w:rPr>
            </w:pPr>
            <w:r w:rsidRPr="00A903F5">
              <w:rPr>
                <w:sz w:val="16"/>
                <w:szCs w:val="16"/>
              </w:rPr>
              <w:t>Gina Paola Gutiérrez Pérez</w:t>
            </w:r>
          </w:p>
        </w:tc>
        <w:tc>
          <w:tcPr>
            <w:tcW w:w="3144" w:type="dxa"/>
          </w:tcPr>
          <w:p w:rsidR="00B23072" w:rsidRPr="00A903F5" w:rsidRDefault="00B23072" w:rsidP="00B23072">
            <w:pPr>
              <w:pStyle w:val="TableParagraph"/>
              <w:spacing w:line="436" w:lineRule="auto"/>
              <w:ind w:right="491"/>
              <w:rPr>
                <w:sz w:val="16"/>
                <w:szCs w:val="16"/>
              </w:rPr>
            </w:pPr>
            <w:r w:rsidRPr="00A903F5">
              <w:rPr>
                <w:sz w:val="16"/>
                <w:szCs w:val="16"/>
              </w:rPr>
              <w:t>CNSC y otras entidades incluyendo el Instituto para la investigación Educativa y el Desarrollo Pedagógico – IDEP</w:t>
            </w:r>
          </w:p>
        </w:tc>
        <w:tc>
          <w:tcPr>
            <w:tcW w:w="3329" w:type="dxa"/>
          </w:tcPr>
          <w:p w:rsidR="00B23072" w:rsidRPr="00172C68" w:rsidRDefault="00B23072" w:rsidP="00B23072">
            <w:pPr>
              <w:pStyle w:val="TableParagraph"/>
              <w:spacing w:line="436" w:lineRule="auto"/>
              <w:ind w:left="170" w:right="98" w:hanging="44"/>
              <w:jc w:val="both"/>
              <w:rPr>
                <w:sz w:val="16"/>
                <w:szCs w:val="16"/>
              </w:rPr>
            </w:pPr>
            <w:r w:rsidRPr="00172C68">
              <w:rPr>
                <w:sz w:val="16"/>
                <w:szCs w:val="16"/>
              </w:rPr>
              <w:t xml:space="preserve">Fallo </w:t>
            </w:r>
            <w:r>
              <w:rPr>
                <w:sz w:val="16"/>
                <w:szCs w:val="16"/>
              </w:rPr>
              <w:t>a favor de los tutelados</w:t>
            </w:r>
          </w:p>
        </w:tc>
        <w:tc>
          <w:tcPr>
            <w:tcW w:w="1349" w:type="dxa"/>
          </w:tcPr>
          <w:p w:rsidR="00B23072" w:rsidRPr="00172C68" w:rsidRDefault="00B23072" w:rsidP="00B23072">
            <w:pPr>
              <w:pStyle w:val="TableParagraph"/>
              <w:rPr>
                <w:sz w:val="16"/>
                <w:szCs w:val="16"/>
              </w:rPr>
            </w:pPr>
            <w:r w:rsidRPr="00172C68">
              <w:rPr>
                <w:sz w:val="16"/>
                <w:szCs w:val="16"/>
              </w:rPr>
              <w:t>N/A</w:t>
            </w:r>
          </w:p>
        </w:tc>
        <w:tc>
          <w:tcPr>
            <w:tcW w:w="2231" w:type="dxa"/>
          </w:tcPr>
          <w:p w:rsidR="00B23072" w:rsidRPr="00172C68" w:rsidRDefault="00B23072" w:rsidP="00B23072">
            <w:pPr>
              <w:pStyle w:val="TableParagraph"/>
              <w:spacing w:before="96"/>
              <w:rPr>
                <w:sz w:val="16"/>
                <w:szCs w:val="16"/>
              </w:rPr>
            </w:pPr>
            <w:r w:rsidRPr="00172C68">
              <w:rPr>
                <w:sz w:val="16"/>
                <w:szCs w:val="16"/>
              </w:rPr>
              <w:t>Bajo</w:t>
            </w:r>
          </w:p>
        </w:tc>
      </w:tr>
      <w:tr w:rsidR="0017430B" w:rsidRPr="00AC46AD" w:rsidTr="00AC46AD">
        <w:trPr>
          <w:trHeight w:val="1828"/>
        </w:trPr>
        <w:tc>
          <w:tcPr>
            <w:tcW w:w="2765" w:type="dxa"/>
          </w:tcPr>
          <w:p w:rsidR="0017430B" w:rsidRPr="00AC46AD" w:rsidRDefault="0017430B" w:rsidP="0017430B">
            <w:pPr>
              <w:pStyle w:val="TableParagraph"/>
              <w:spacing w:before="138" w:line="393" w:lineRule="auto"/>
              <w:ind w:left="355" w:right="369" w:hanging="248"/>
              <w:rPr>
                <w:b/>
                <w:w w:val="95"/>
                <w:sz w:val="16"/>
                <w:szCs w:val="16"/>
              </w:rPr>
            </w:pPr>
            <w:r w:rsidRPr="00AC46AD">
              <w:rPr>
                <w:b/>
                <w:w w:val="90"/>
                <w:sz w:val="16"/>
                <w:szCs w:val="16"/>
              </w:rPr>
              <w:t xml:space="preserve">7. Proceso administrativo </w:t>
            </w:r>
            <w:r w:rsidRPr="00AC46AD">
              <w:rPr>
                <w:b/>
                <w:sz w:val="16"/>
                <w:szCs w:val="16"/>
              </w:rPr>
              <w:t>nulidad simple</w:t>
            </w:r>
          </w:p>
        </w:tc>
        <w:tc>
          <w:tcPr>
            <w:tcW w:w="2932" w:type="dxa"/>
          </w:tcPr>
          <w:p w:rsidR="0017430B" w:rsidRPr="00AC46AD" w:rsidRDefault="0017430B" w:rsidP="0017430B">
            <w:pPr>
              <w:pStyle w:val="TableParagraph"/>
              <w:spacing w:line="436" w:lineRule="auto"/>
              <w:ind w:left="105" w:right="87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Martha Ivvete Ramírez Navarrete</w:t>
            </w:r>
          </w:p>
        </w:tc>
        <w:tc>
          <w:tcPr>
            <w:tcW w:w="3144" w:type="dxa"/>
          </w:tcPr>
          <w:p w:rsidR="0017430B" w:rsidRPr="00AC46AD" w:rsidRDefault="0017430B" w:rsidP="0017430B">
            <w:pPr>
              <w:pStyle w:val="TableParagraph"/>
              <w:spacing w:line="436" w:lineRule="auto"/>
              <w:ind w:right="491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CNSC y otras entidades incluyendo el Instituto para la investigación Educativa y el Desarrollo Pedagógico – IDEP</w:t>
            </w:r>
          </w:p>
        </w:tc>
        <w:tc>
          <w:tcPr>
            <w:tcW w:w="3329" w:type="dxa"/>
          </w:tcPr>
          <w:p w:rsidR="0017430B" w:rsidRDefault="0017430B" w:rsidP="0017430B">
            <w:pPr>
              <w:pStyle w:val="TableParagraph"/>
              <w:spacing w:line="436" w:lineRule="auto"/>
              <w:ind w:left="38" w:right="9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el término procesal se otorgó respuesta a la solicitud de medida provisional- medida cautelar, siendo remitida mediante correo electrónico del 2 de abril de 2019 y radicada en la Secretaría del Despacho el día 03 de abril de 2019.</w:t>
            </w:r>
          </w:p>
          <w:p w:rsidR="0017430B" w:rsidRDefault="0017430B" w:rsidP="0017430B">
            <w:pPr>
              <w:pStyle w:val="TableParagraph"/>
              <w:spacing w:line="436" w:lineRule="auto"/>
              <w:ind w:left="38" w:right="9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la misma manera el día 24 de abril de 2019 se radicó contestación de la demanda siguiendo los lineamientos brindados por la CNCS.</w:t>
            </w:r>
          </w:p>
          <w:p w:rsidR="0017430B" w:rsidRPr="00AC46AD" w:rsidRDefault="0017430B" w:rsidP="0017430B">
            <w:pPr>
              <w:pStyle w:val="TableParagraph"/>
              <w:spacing w:line="436" w:lineRule="auto"/>
              <w:ind w:left="38" w:right="98" w:firstLine="8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la fecha se encuentra al despacho para decisión. </w:t>
            </w:r>
          </w:p>
        </w:tc>
        <w:tc>
          <w:tcPr>
            <w:tcW w:w="1349" w:type="dxa"/>
          </w:tcPr>
          <w:p w:rsidR="0017430B" w:rsidRPr="00172C68" w:rsidRDefault="0017430B" w:rsidP="0017430B">
            <w:pPr>
              <w:pStyle w:val="TableParagraph"/>
              <w:rPr>
                <w:sz w:val="16"/>
                <w:szCs w:val="16"/>
              </w:rPr>
            </w:pPr>
            <w:r w:rsidRPr="00172C68">
              <w:rPr>
                <w:sz w:val="16"/>
                <w:szCs w:val="16"/>
              </w:rPr>
              <w:t>N/A</w:t>
            </w:r>
          </w:p>
        </w:tc>
        <w:tc>
          <w:tcPr>
            <w:tcW w:w="2231" w:type="dxa"/>
          </w:tcPr>
          <w:p w:rsidR="0017430B" w:rsidRPr="00172C68" w:rsidRDefault="0017430B" w:rsidP="0017430B">
            <w:pPr>
              <w:pStyle w:val="TableParagraph"/>
              <w:spacing w:before="96"/>
              <w:rPr>
                <w:sz w:val="16"/>
                <w:szCs w:val="16"/>
              </w:rPr>
            </w:pPr>
            <w:r w:rsidRPr="00172C68">
              <w:rPr>
                <w:sz w:val="16"/>
                <w:szCs w:val="16"/>
              </w:rPr>
              <w:t>Bajo</w:t>
            </w:r>
          </w:p>
        </w:tc>
      </w:tr>
    </w:tbl>
    <w:p w:rsidR="00FC3AA7" w:rsidRPr="005C4892" w:rsidRDefault="00FC3AA7" w:rsidP="005C4892">
      <w:pPr>
        <w:pStyle w:val="Textoindependiente"/>
        <w:spacing w:before="5"/>
        <w:rPr>
          <w:rFonts w:ascii="Times New Roman"/>
          <w:sz w:val="15"/>
        </w:rPr>
      </w:pPr>
    </w:p>
    <w:p w:rsidR="00FC3AA7" w:rsidRDefault="00DF2B29">
      <w:pPr>
        <w:pStyle w:val="Textoindependiente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8053705</wp:posOffset>
                </wp:positionH>
                <wp:positionV relativeFrom="paragraph">
                  <wp:posOffset>180975</wp:posOffset>
                </wp:positionV>
                <wp:extent cx="3388360" cy="276225"/>
                <wp:effectExtent l="5080" t="13970" r="6985" b="50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36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3AA7" w:rsidRDefault="00A979B1">
                            <w:pPr>
                              <w:spacing w:before="76"/>
                              <w:ind w:left="146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Apoderado de la Entidad: </w:t>
                            </w:r>
                            <w:r>
                              <w:rPr>
                                <w:sz w:val="20"/>
                              </w:rPr>
                              <w:t xml:space="preserve">Dr. Edison Barrero </w:t>
                            </w:r>
                            <w:r>
                              <w:rPr>
                                <w:rFonts w:ascii="Trebuchet MS"/>
                              </w:rPr>
                              <w:t>Torres.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4.15pt;margin-top:14.25pt;width:266.8pt;height:21.7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" filled="f">
                <v:textbox inset="0,0,0,0">
                  <w:txbxContent>
                    <w:p w:rsidR="00FC3AA7" w:rsidRDefault="00A979B1">
                      <w:pPr>
                        <w:spacing w:before="76"/>
                        <w:ind w:left="146"/>
                        <w:rPr>
                          <w:rFonts w:ascii="Trebuchet MS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Apoderado de la Entidad: </w:t>
                      </w:r>
                      <w:r>
                        <w:rPr>
                          <w:sz w:val="20"/>
                        </w:rPr>
                        <w:t xml:space="preserve">Dr. Edison Barrero </w:t>
                      </w:r>
                      <w:r>
                        <w:rPr>
                          <w:rFonts w:ascii="Trebuchet MS"/>
                        </w:rPr>
                        <w:t>Torres.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C3AA7" w:rsidRDefault="00FC3AA7">
      <w:pPr>
        <w:pStyle w:val="Textoindependiente"/>
        <w:spacing w:before="9"/>
        <w:rPr>
          <w:rFonts w:ascii="Times New Roman"/>
          <w:sz w:val="18"/>
        </w:rPr>
      </w:pPr>
    </w:p>
    <w:p w:rsidR="00FC3AA7" w:rsidRDefault="00A979B1">
      <w:pPr>
        <w:pStyle w:val="Textoindependiente"/>
        <w:ind w:left="155"/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5783579</wp:posOffset>
            </wp:positionH>
            <wp:positionV relativeFrom="paragraph">
              <wp:posOffset>-100585</wp:posOffset>
            </wp:positionV>
            <wp:extent cx="1083945" cy="8077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7365D"/>
        </w:rPr>
        <w:t>INSTITUTO PARA LA INVESTIGACIÓN EDUCATIVA Y EL DESARROLLO PEDAGÓGICO, IDEP</w:t>
      </w:r>
    </w:p>
    <w:p w:rsidR="00FC3AA7" w:rsidRDefault="00A979B1">
      <w:pPr>
        <w:pStyle w:val="Textoindependiente"/>
        <w:spacing w:before="19"/>
        <w:ind w:left="155"/>
      </w:pPr>
      <w:r>
        <w:rPr>
          <w:color w:val="17365D"/>
        </w:rPr>
        <w:t>Avenida Calle 26 No. 69D - 91. Oficinas 402ª, 402B, 805, 806. Torre 2 - Código Postal: 110931</w:t>
      </w:r>
    </w:p>
    <w:p w:rsidR="00FC3AA7" w:rsidRDefault="00A979B1">
      <w:pPr>
        <w:pStyle w:val="Textoindependiente"/>
        <w:spacing w:before="19" w:line="268" w:lineRule="auto"/>
        <w:ind w:left="155" w:right="12726"/>
      </w:pPr>
      <w:r>
        <w:rPr>
          <w:color w:val="17365D"/>
        </w:rPr>
        <w:t>PBX (57-1) 263 0603 - Línea de atención al ciudadano 195 Bogotá DC - Colombia</w:t>
      </w:r>
    </w:p>
    <w:p w:rsidR="00FC3AA7" w:rsidRDefault="00C13EE1">
      <w:pPr>
        <w:pStyle w:val="Textoindependiente"/>
        <w:spacing w:line="268" w:lineRule="auto"/>
        <w:ind w:left="155" w:right="14284"/>
        <w:rPr>
          <w:color w:val="17365D"/>
        </w:rPr>
      </w:pPr>
      <w:hyperlink r:id="rId7">
        <w:r w:rsidR="00A979B1">
          <w:rPr>
            <w:color w:val="17365D"/>
            <w:w w:val="95"/>
          </w:rPr>
          <w:t>idep@idep.edu.co</w:t>
        </w:r>
      </w:hyperlink>
      <w:r w:rsidR="00A979B1">
        <w:rPr>
          <w:color w:val="17365D"/>
          <w:w w:val="95"/>
        </w:rPr>
        <w:t xml:space="preserve"> </w:t>
      </w:r>
      <w:hyperlink r:id="rId8">
        <w:r w:rsidR="00A979B1">
          <w:rPr>
            <w:color w:val="17365D"/>
          </w:rPr>
          <w:t>www.idep.edu.co</w:t>
        </w:r>
      </w:hyperlink>
    </w:p>
    <w:p w:rsidR="004A4DC0" w:rsidRDefault="004A4DC0">
      <w:pPr>
        <w:pStyle w:val="Textoindependiente"/>
        <w:spacing w:line="268" w:lineRule="auto"/>
        <w:ind w:left="155" w:right="14284"/>
      </w:pPr>
    </w:p>
    <w:sectPr w:rsidR="004A4DC0" w:rsidSect="00B77821">
      <w:type w:val="continuous"/>
      <w:pgSz w:w="18720" w:h="12240" w:orient="landscape" w:code="41"/>
      <w:pgMar w:top="907" w:right="567" w:bottom="27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A7"/>
    <w:rsid w:val="000409CD"/>
    <w:rsid w:val="000B2A22"/>
    <w:rsid w:val="000F5281"/>
    <w:rsid w:val="00172C68"/>
    <w:rsid w:val="0017430B"/>
    <w:rsid w:val="002032C4"/>
    <w:rsid w:val="002128A5"/>
    <w:rsid w:val="00232C3E"/>
    <w:rsid w:val="00251017"/>
    <w:rsid w:val="002701A7"/>
    <w:rsid w:val="00391748"/>
    <w:rsid w:val="003E6D8C"/>
    <w:rsid w:val="00454049"/>
    <w:rsid w:val="004A4DC0"/>
    <w:rsid w:val="005C3720"/>
    <w:rsid w:val="005C4892"/>
    <w:rsid w:val="006C00C2"/>
    <w:rsid w:val="00721754"/>
    <w:rsid w:val="00802F27"/>
    <w:rsid w:val="00856C49"/>
    <w:rsid w:val="008948E1"/>
    <w:rsid w:val="008A4300"/>
    <w:rsid w:val="008F098E"/>
    <w:rsid w:val="009E0EEF"/>
    <w:rsid w:val="00A903F5"/>
    <w:rsid w:val="00A979B1"/>
    <w:rsid w:val="00AC46AD"/>
    <w:rsid w:val="00AC54F0"/>
    <w:rsid w:val="00AF33A7"/>
    <w:rsid w:val="00B23072"/>
    <w:rsid w:val="00B77821"/>
    <w:rsid w:val="00BB74B3"/>
    <w:rsid w:val="00BE15BF"/>
    <w:rsid w:val="00C06657"/>
    <w:rsid w:val="00C13EE1"/>
    <w:rsid w:val="00CB293E"/>
    <w:rsid w:val="00D4098B"/>
    <w:rsid w:val="00D50415"/>
    <w:rsid w:val="00DF2B29"/>
    <w:rsid w:val="00F82F92"/>
    <w:rsid w:val="00FC3AA7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1534265-7DE7-4DCA-80BE-370D2F4F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C3AA7"/>
    <w:rPr>
      <w:rFonts w:ascii="Arial" w:eastAsia="Arial" w:hAnsi="Arial" w:cs="Arial"/>
      <w:lang w:val="es-CO"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3A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C3AA7"/>
    <w:rPr>
      <w:sz w:val="14"/>
      <w:szCs w:val="14"/>
    </w:rPr>
  </w:style>
  <w:style w:type="paragraph" w:styleId="Prrafodelista">
    <w:name w:val="List Paragraph"/>
    <w:basedOn w:val="Normal"/>
    <w:uiPriority w:val="1"/>
    <w:qFormat/>
    <w:rsid w:val="00FC3AA7"/>
  </w:style>
  <w:style w:type="paragraph" w:customStyle="1" w:styleId="TableParagraph">
    <w:name w:val="Table Paragraph"/>
    <w:basedOn w:val="Normal"/>
    <w:uiPriority w:val="1"/>
    <w:qFormat/>
    <w:rsid w:val="00FC3AA7"/>
    <w:pPr>
      <w:spacing w:before="103"/>
      <w:ind w:left="1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2A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A22"/>
    <w:rPr>
      <w:rFonts w:ascii="Tahoma" w:eastAsia="Arial" w:hAnsi="Tahoma" w:cs="Tahoma"/>
      <w:sz w:val="16"/>
      <w:szCs w:val="16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p.edu.c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dep@idep.edu.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5A9A4-C695-46F6-8FED-87530E83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IDEP / Formato tamaño carta</vt:lpstr>
    </vt:vector>
  </TitlesOfParts>
  <Company>Hewlett-Packard Company</Company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IDEP / Formato tamaño carta</dc:title>
  <dc:subject>IDEP / Formato tamaño carta</dc:subject>
  <dc:creator>sortega</dc:creator>
  <cp:keywords>IDEP/Formato tamaño carta</cp:keywords>
  <cp:lastModifiedBy>Erika Viviana Boyacá Olaya</cp:lastModifiedBy>
  <cp:revision>2</cp:revision>
  <cp:lastPrinted>2019-03-06T14:14:00Z</cp:lastPrinted>
  <dcterms:created xsi:type="dcterms:W3CDTF">2019-08-15T17:52:00Z</dcterms:created>
  <dcterms:modified xsi:type="dcterms:W3CDTF">2019-08-15T17:52:00Z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2018-04-26T00:00:00Z</vt:filetime>
  </property>
</Properties>
</file>