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F1" w:rsidRPr="00D608D7" w:rsidRDefault="007C38F1"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Default="007247AA"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bookmarkStart w:id="0" w:name="_GoBack"/>
      <w:bookmarkEnd w:id="0"/>
    </w:p>
    <w:p w:rsidR="00D608D7" w:rsidRDefault="00D608D7"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p>
    <w:p w:rsidR="00D608D7" w:rsidRPr="00D608D7" w:rsidRDefault="00D608D7"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tbl>
      <w:tblPr>
        <w:tblStyle w:val="Tablaconcuadrcula"/>
        <w:tblW w:w="8784" w:type="dxa"/>
        <w:tblLook w:val="04A0" w:firstRow="1" w:lastRow="0" w:firstColumn="1" w:lastColumn="0" w:noHBand="0" w:noVBand="1"/>
      </w:tblPr>
      <w:tblGrid>
        <w:gridCol w:w="2689"/>
        <w:gridCol w:w="3118"/>
        <w:gridCol w:w="2977"/>
      </w:tblGrid>
      <w:tr w:rsidR="007247AA" w:rsidRPr="00D608D7" w:rsidTr="00D608D7">
        <w:tc>
          <w:tcPr>
            <w:tcW w:w="8784" w:type="dxa"/>
            <w:gridSpan w:val="3"/>
          </w:tcPr>
          <w:p w:rsidR="007247AA" w:rsidRPr="00D608D7" w:rsidRDefault="007247AA" w:rsidP="00D608D7">
            <w:pPr>
              <w:jc w:val="center"/>
              <w:rPr>
                <w:rFonts w:ascii="Arial" w:hAnsi="Arial" w:cs="Arial"/>
                <w:b/>
              </w:rPr>
            </w:pPr>
            <w:r w:rsidRPr="00D608D7">
              <w:rPr>
                <w:rFonts w:ascii="Arial" w:hAnsi="Arial" w:cs="Arial"/>
                <w:b/>
              </w:rPr>
              <w:t>Firma de autorizaciones</w:t>
            </w:r>
          </w:p>
        </w:tc>
      </w:tr>
      <w:tr w:rsidR="007247AA" w:rsidRPr="00D608D7" w:rsidTr="00DD5AAD">
        <w:tc>
          <w:tcPr>
            <w:tcW w:w="2689" w:type="dxa"/>
          </w:tcPr>
          <w:p w:rsidR="007247AA" w:rsidRPr="00D608D7" w:rsidRDefault="007247AA" w:rsidP="00D608D7">
            <w:pPr>
              <w:jc w:val="center"/>
              <w:rPr>
                <w:rFonts w:ascii="Arial" w:hAnsi="Arial" w:cs="Arial"/>
                <w:b/>
              </w:rPr>
            </w:pPr>
            <w:r w:rsidRPr="00D608D7">
              <w:rPr>
                <w:rFonts w:ascii="Arial" w:hAnsi="Arial" w:cs="Arial"/>
                <w:b/>
              </w:rPr>
              <w:t>Elaboró</w:t>
            </w:r>
          </w:p>
        </w:tc>
        <w:tc>
          <w:tcPr>
            <w:tcW w:w="3118" w:type="dxa"/>
          </w:tcPr>
          <w:p w:rsidR="007247AA" w:rsidRPr="00D608D7" w:rsidRDefault="007247AA" w:rsidP="00D608D7">
            <w:pPr>
              <w:jc w:val="center"/>
              <w:rPr>
                <w:rFonts w:ascii="Arial" w:hAnsi="Arial" w:cs="Arial"/>
                <w:b/>
              </w:rPr>
            </w:pPr>
            <w:r w:rsidRPr="00D608D7">
              <w:rPr>
                <w:rFonts w:ascii="Arial" w:hAnsi="Arial" w:cs="Arial"/>
                <w:b/>
              </w:rPr>
              <w:t>Revisó</w:t>
            </w:r>
          </w:p>
        </w:tc>
        <w:tc>
          <w:tcPr>
            <w:tcW w:w="2977" w:type="dxa"/>
          </w:tcPr>
          <w:p w:rsidR="007247AA" w:rsidRPr="00D608D7" w:rsidRDefault="007247AA" w:rsidP="00D608D7">
            <w:pPr>
              <w:jc w:val="center"/>
              <w:rPr>
                <w:rFonts w:ascii="Arial" w:hAnsi="Arial" w:cs="Arial"/>
                <w:b/>
              </w:rPr>
            </w:pPr>
            <w:r w:rsidRPr="00D608D7">
              <w:rPr>
                <w:rFonts w:ascii="Arial" w:hAnsi="Arial" w:cs="Arial"/>
                <w:b/>
              </w:rPr>
              <w:t>Aprobó</w:t>
            </w:r>
          </w:p>
        </w:tc>
      </w:tr>
      <w:tr w:rsidR="007247AA" w:rsidRPr="00D608D7" w:rsidTr="00DD5AAD">
        <w:trPr>
          <w:trHeight w:val="718"/>
        </w:trPr>
        <w:tc>
          <w:tcPr>
            <w:tcW w:w="2689" w:type="dxa"/>
          </w:tcPr>
          <w:p w:rsidR="007247AA" w:rsidRPr="00D608D7" w:rsidRDefault="007247AA" w:rsidP="00D608D7">
            <w:pPr>
              <w:jc w:val="center"/>
              <w:rPr>
                <w:rFonts w:ascii="Arial" w:hAnsi="Arial" w:cs="Arial"/>
              </w:rPr>
            </w:pPr>
          </w:p>
          <w:p w:rsidR="007247AA" w:rsidRPr="00D608D7" w:rsidRDefault="007247AA" w:rsidP="00D608D7">
            <w:pPr>
              <w:jc w:val="center"/>
              <w:rPr>
                <w:rFonts w:ascii="Arial" w:hAnsi="Arial" w:cs="Arial"/>
              </w:rPr>
            </w:pPr>
            <w:r w:rsidRPr="00D608D7">
              <w:rPr>
                <w:rFonts w:ascii="Arial" w:hAnsi="Arial" w:cs="Arial"/>
              </w:rPr>
              <w:t>Asesor de la Dirección General</w:t>
            </w:r>
          </w:p>
        </w:tc>
        <w:tc>
          <w:tcPr>
            <w:tcW w:w="3118" w:type="dxa"/>
          </w:tcPr>
          <w:p w:rsidR="007247AA" w:rsidRPr="00D608D7" w:rsidRDefault="007247AA" w:rsidP="00D608D7">
            <w:pPr>
              <w:jc w:val="center"/>
              <w:rPr>
                <w:rFonts w:ascii="Arial" w:hAnsi="Arial" w:cs="Arial"/>
              </w:rPr>
            </w:pPr>
          </w:p>
          <w:p w:rsidR="007247AA" w:rsidRPr="00D608D7" w:rsidRDefault="007247AA" w:rsidP="00D608D7">
            <w:pPr>
              <w:jc w:val="center"/>
              <w:rPr>
                <w:rFonts w:ascii="Arial" w:hAnsi="Arial" w:cs="Arial"/>
              </w:rPr>
            </w:pPr>
            <w:r w:rsidRPr="00D608D7">
              <w:rPr>
                <w:rFonts w:ascii="Arial" w:hAnsi="Arial" w:cs="Arial"/>
              </w:rPr>
              <w:t>Asesor de la Dirección General</w:t>
            </w:r>
          </w:p>
        </w:tc>
        <w:tc>
          <w:tcPr>
            <w:tcW w:w="2977" w:type="dxa"/>
          </w:tcPr>
          <w:p w:rsidR="007247AA" w:rsidRPr="00D608D7" w:rsidRDefault="007247AA" w:rsidP="00D608D7">
            <w:pPr>
              <w:jc w:val="center"/>
              <w:rPr>
                <w:rFonts w:ascii="Arial" w:hAnsi="Arial" w:cs="Arial"/>
              </w:rPr>
            </w:pPr>
          </w:p>
          <w:p w:rsidR="007247AA" w:rsidRPr="00D608D7" w:rsidRDefault="00DD5AAD" w:rsidP="00D608D7">
            <w:pPr>
              <w:jc w:val="center"/>
              <w:rPr>
                <w:rFonts w:ascii="Arial" w:hAnsi="Arial" w:cs="Arial"/>
              </w:rPr>
            </w:pPr>
            <w:r w:rsidRPr="00D608D7">
              <w:rPr>
                <w:rFonts w:ascii="Arial" w:hAnsi="Arial" w:cs="Arial"/>
              </w:rPr>
              <w:t>Asesor de la Dirección General</w:t>
            </w:r>
          </w:p>
        </w:tc>
      </w:tr>
      <w:tr w:rsidR="007247AA" w:rsidRPr="00D608D7" w:rsidTr="00D608D7">
        <w:tc>
          <w:tcPr>
            <w:tcW w:w="8784" w:type="dxa"/>
            <w:gridSpan w:val="3"/>
          </w:tcPr>
          <w:p w:rsidR="007247AA" w:rsidRPr="00D608D7" w:rsidRDefault="007247AA" w:rsidP="00D608D7">
            <w:pPr>
              <w:jc w:val="both"/>
              <w:rPr>
                <w:rFonts w:ascii="Arial" w:hAnsi="Arial" w:cs="Arial"/>
                <w:b/>
              </w:rPr>
            </w:pPr>
            <w:r w:rsidRPr="00D608D7">
              <w:rPr>
                <w:rFonts w:ascii="Arial" w:hAnsi="Arial" w:cs="Arial"/>
                <w:b/>
              </w:rPr>
              <w:t>Control de cambios</w:t>
            </w:r>
          </w:p>
        </w:tc>
      </w:tr>
      <w:tr w:rsidR="007247AA" w:rsidRPr="00D608D7" w:rsidTr="00DD5AAD">
        <w:tc>
          <w:tcPr>
            <w:tcW w:w="2689" w:type="dxa"/>
          </w:tcPr>
          <w:p w:rsidR="007247AA" w:rsidRPr="00D608D7" w:rsidRDefault="007247AA" w:rsidP="00D608D7">
            <w:pPr>
              <w:jc w:val="both"/>
              <w:rPr>
                <w:rFonts w:ascii="Arial" w:hAnsi="Arial" w:cs="Arial"/>
                <w:b/>
              </w:rPr>
            </w:pPr>
            <w:r w:rsidRPr="00D608D7">
              <w:rPr>
                <w:rFonts w:ascii="Arial" w:hAnsi="Arial" w:cs="Arial"/>
                <w:b/>
              </w:rPr>
              <w:t>Fecha</w:t>
            </w:r>
          </w:p>
        </w:tc>
        <w:tc>
          <w:tcPr>
            <w:tcW w:w="6095" w:type="dxa"/>
            <w:gridSpan w:val="2"/>
          </w:tcPr>
          <w:p w:rsidR="007247AA" w:rsidRPr="00D608D7" w:rsidRDefault="007247AA" w:rsidP="00D608D7">
            <w:pPr>
              <w:jc w:val="both"/>
              <w:rPr>
                <w:rFonts w:ascii="Arial" w:hAnsi="Arial" w:cs="Arial"/>
                <w:b/>
              </w:rPr>
            </w:pPr>
            <w:r w:rsidRPr="00D608D7">
              <w:rPr>
                <w:rFonts w:ascii="Arial" w:hAnsi="Arial" w:cs="Arial"/>
                <w:b/>
              </w:rPr>
              <w:t>Descripción</w:t>
            </w:r>
          </w:p>
        </w:tc>
      </w:tr>
      <w:tr w:rsidR="007247AA" w:rsidRPr="00D608D7" w:rsidTr="00DD5AAD">
        <w:tc>
          <w:tcPr>
            <w:tcW w:w="2689" w:type="dxa"/>
          </w:tcPr>
          <w:p w:rsidR="007247AA" w:rsidRPr="00D608D7" w:rsidRDefault="007247AA" w:rsidP="00D608D7">
            <w:pPr>
              <w:jc w:val="both"/>
              <w:rPr>
                <w:rFonts w:ascii="Arial" w:hAnsi="Arial" w:cs="Arial"/>
              </w:rPr>
            </w:pPr>
          </w:p>
          <w:p w:rsidR="007247AA" w:rsidRPr="00D608D7" w:rsidRDefault="007247AA" w:rsidP="00D608D7">
            <w:pPr>
              <w:jc w:val="both"/>
              <w:rPr>
                <w:rFonts w:ascii="Arial" w:hAnsi="Arial" w:cs="Arial"/>
              </w:rPr>
            </w:pPr>
          </w:p>
          <w:p w:rsidR="007247AA" w:rsidRPr="00D608D7" w:rsidRDefault="007247AA" w:rsidP="00D608D7">
            <w:pPr>
              <w:jc w:val="both"/>
              <w:rPr>
                <w:rFonts w:ascii="Arial" w:hAnsi="Arial" w:cs="Arial"/>
              </w:rPr>
            </w:pPr>
            <w:r w:rsidRPr="00D608D7">
              <w:rPr>
                <w:rFonts w:ascii="Arial" w:hAnsi="Arial" w:cs="Arial"/>
              </w:rPr>
              <w:t>Octubre</w:t>
            </w:r>
            <w:r w:rsidRPr="00D608D7">
              <w:rPr>
                <w:rFonts w:ascii="Arial" w:hAnsi="Arial" w:cs="Arial"/>
              </w:rPr>
              <w:t xml:space="preserve"> de 2019 </w:t>
            </w:r>
          </w:p>
        </w:tc>
        <w:tc>
          <w:tcPr>
            <w:tcW w:w="6095" w:type="dxa"/>
            <w:gridSpan w:val="2"/>
          </w:tcPr>
          <w:p w:rsidR="007247AA" w:rsidRPr="00D608D7" w:rsidRDefault="007247AA" w:rsidP="00D608D7">
            <w:pPr>
              <w:jc w:val="both"/>
              <w:rPr>
                <w:rFonts w:ascii="Arial" w:hAnsi="Arial" w:cs="Arial"/>
              </w:rPr>
            </w:pPr>
            <w:r w:rsidRPr="00D608D7">
              <w:rPr>
                <w:rFonts w:ascii="Arial" w:hAnsi="Arial" w:cs="Arial"/>
              </w:rPr>
              <w:t xml:space="preserve">Creación documento teniendo en cuenta los lineamientos del Departamento Administrativo de la Función Pública y el Formulario Único Reporte de Avances de la Gestión, FURAG y la implementación de la Política de </w:t>
            </w:r>
            <w:r w:rsidRPr="00D608D7">
              <w:rPr>
                <w:rFonts w:ascii="Arial" w:hAnsi="Arial" w:cs="Arial"/>
              </w:rPr>
              <w:t xml:space="preserve">Transparencia, acceso a la información pública y lucha contra la corrupción </w:t>
            </w:r>
            <w:r w:rsidRPr="00D608D7">
              <w:rPr>
                <w:rFonts w:ascii="Arial" w:hAnsi="Arial" w:cs="Arial"/>
              </w:rPr>
              <w:t xml:space="preserve">del Modelo Integrado de Planeación y Gestión en el IDEP. </w:t>
            </w:r>
          </w:p>
        </w:tc>
      </w:tr>
    </w:tbl>
    <w:p w:rsidR="007247AA" w:rsidRPr="00D608D7" w:rsidRDefault="007247AA" w:rsidP="00D608D7">
      <w:pPr>
        <w:autoSpaceDE w:val="0"/>
        <w:autoSpaceDN w:val="0"/>
        <w:adjustRightInd w:val="0"/>
        <w:jc w:val="both"/>
        <w:rPr>
          <w:rFonts w:ascii="Arial" w:hAnsi="Arial" w:cs="Arial"/>
          <w:sz w:val="22"/>
          <w:szCs w:val="22"/>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both"/>
        <w:rPr>
          <w:rFonts w:ascii="Arial" w:hAnsi="Arial" w:cs="Arial"/>
          <w:sz w:val="22"/>
          <w:szCs w:val="22"/>
          <w:lang w:val="es-ES_tradnl"/>
        </w:rPr>
      </w:pPr>
    </w:p>
    <w:p w:rsidR="007247AA" w:rsidRPr="00D608D7" w:rsidRDefault="007247AA" w:rsidP="00D608D7">
      <w:pPr>
        <w:autoSpaceDE w:val="0"/>
        <w:autoSpaceDN w:val="0"/>
        <w:adjustRightInd w:val="0"/>
        <w:jc w:val="center"/>
        <w:rPr>
          <w:rFonts w:ascii="Arial" w:hAnsi="Arial" w:cs="Arial"/>
          <w:b/>
          <w:sz w:val="22"/>
          <w:szCs w:val="22"/>
          <w:lang w:val="es-ES_tradnl"/>
        </w:rPr>
      </w:pPr>
    </w:p>
    <w:p w:rsidR="007247AA" w:rsidRPr="00D608D7" w:rsidRDefault="00D608D7" w:rsidP="00D608D7">
      <w:pPr>
        <w:autoSpaceDE w:val="0"/>
        <w:autoSpaceDN w:val="0"/>
        <w:adjustRightInd w:val="0"/>
        <w:jc w:val="center"/>
        <w:rPr>
          <w:rFonts w:ascii="Arial" w:hAnsi="Arial" w:cs="Arial"/>
          <w:b/>
          <w:sz w:val="22"/>
          <w:szCs w:val="22"/>
          <w:lang w:val="es-ES_tradnl"/>
        </w:rPr>
      </w:pPr>
      <w:r w:rsidRPr="00D608D7">
        <w:rPr>
          <w:rFonts w:ascii="Arial" w:hAnsi="Arial" w:cs="Arial"/>
          <w:b/>
          <w:sz w:val="22"/>
          <w:szCs w:val="22"/>
          <w:lang w:val="es-ES_tradnl"/>
        </w:rPr>
        <w:t>GRUPOS ÉTNICOS EN BOGOTÁ</w:t>
      </w:r>
    </w:p>
    <w:p w:rsidR="007247AA" w:rsidRDefault="007247AA" w:rsidP="00D608D7">
      <w:pPr>
        <w:autoSpaceDE w:val="0"/>
        <w:autoSpaceDN w:val="0"/>
        <w:adjustRightInd w:val="0"/>
        <w:jc w:val="both"/>
        <w:rPr>
          <w:rFonts w:ascii="Arial" w:hAnsi="Arial" w:cs="Arial"/>
          <w:sz w:val="22"/>
          <w:szCs w:val="22"/>
          <w:lang w:val="es-ES_tradnl"/>
        </w:rPr>
      </w:pPr>
    </w:p>
    <w:p w:rsidR="00D608D7" w:rsidRDefault="00D608D7" w:rsidP="00D608D7">
      <w:pPr>
        <w:autoSpaceDE w:val="0"/>
        <w:autoSpaceDN w:val="0"/>
        <w:adjustRightInd w:val="0"/>
        <w:jc w:val="both"/>
        <w:rPr>
          <w:rFonts w:ascii="Arial" w:hAnsi="Arial" w:cs="Arial"/>
          <w:sz w:val="22"/>
          <w:szCs w:val="22"/>
          <w:lang w:val="es-ES_tradnl"/>
        </w:rPr>
      </w:pPr>
    </w:p>
    <w:p w:rsidR="00D608D7" w:rsidRPr="00D608D7" w:rsidRDefault="00D608D7" w:rsidP="00D608D7">
      <w:pPr>
        <w:autoSpaceDE w:val="0"/>
        <w:autoSpaceDN w:val="0"/>
        <w:adjustRightInd w:val="0"/>
        <w:jc w:val="both"/>
        <w:rPr>
          <w:rFonts w:ascii="Arial" w:hAnsi="Arial" w:cs="Arial"/>
          <w:sz w:val="22"/>
          <w:szCs w:val="22"/>
          <w:lang w:val="es-ES_tradnl"/>
        </w:rPr>
      </w:pPr>
    </w:p>
    <w:p w:rsidR="007C38F1" w:rsidRPr="00D608D7" w:rsidRDefault="00B50E24"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De acuerdo con la gerencia de etnias del IDPAC</w:t>
      </w:r>
      <w:r w:rsidRPr="00D608D7">
        <w:rPr>
          <w:rStyle w:val="Refdenotaalpie"/>
          <w:rFonts w:ascii="Arial" w:hAnsi="Arial" w:cs="Arial"/>
          <w:sz w:val="22"/>
          <w:szCs w:val="22"/>
          <w:lang w:val="es-ES_tradnl"/>
        </w:rPr>
        <w:footnoteReference w:id="1"/>
      </w:r>
      <w:r w:rsidRPr="00D608D7">
        <w:rPr>
          <w:rFonts w:ascii="Arial" w:hAnsi="Arial" w:cs="Arial"/>
          <w:sz w:val="22"/>
          <w:szCs w:val="22"/>
          <w:lang w:val="es-ES_tradnl"/>
        </w:rPr>
        <w:t xml:space="preserve"> e</w:t>
      </w:r>
      <w:r w:rsidR="007C38F1" w:rsidRPr="00D608D7">
        <w:rPr>
          <w:rFonts w:ascii="Arial" w:hAnsi="Arial" w:cs="Arial"/>
          <w:sz w:val="22"/>
          <w:szCs w:val="22"/>
          <w:lang w:val="es-ES_tradnl"/>
        </w:rPr>
        <w:t xml:space="preserve">n Bogotá se ha identificado la presencia de </w:t>
      </w:r>
      <w:r w:rsidR="00636A4A" w:rsidRPr="00D608D7">
        <w:rPr>
          <w:rFonts w:ascii="Arial" w:hAnsi="Arial" w:cs="Arial"/>
          <w:sz w:val="22"/>
          <w:szCs w:val="22"/>
          <w:lang w:val="es-ES_tradnl"/>
        </w:rPr>
        <w:t>los siguientes</w:t>
      </w:r>
      <w:r w:rsidR="007C38F1" w:rsidRPr="00D608D7">
        <w:rPr>
          <w:rFonts w:ascii="Arial" w:hAnsi="Arial" w:cs="Arial"/>
          <w:sz w:val="22"/>
          <w:szCs w:val="22"/>
          <w:lang w:val="es-ES_tradnl"/>
        </w:rPr>
        <w:t xml:space="preserve"> </w:t>
      </w:r>
      <w:r w:rsidR="00D608D7" w:rsidRPr="00D608D7">
        <w:rPr>
          <w:rFonts w:ascii="Arial" w:hAnsi="Arial" w:cs="Arial"/>
          <w:sz w:val="22"/>
          <w:szCs w:val="22"/>
          <w:lang w:val="es-ES_tradnl"/>
        </w:rPr>
        <w:t>grupos:</w:t>
      </w:r>
      <w:r w:rsidR="007C38F1" w:rsidRPr="00D608D7">
        <w:rPr>
          <w:rFonts w:ascii="Arial" w:hAnsi="Arial" w:cs="Arial"/>
          <w:sz w:val="22"/>
          <w:szCs w:val="22"/>
          <w:lang w:val="es-ES_tradnl"/>
        </w:rPr>
        <w:t xml:space="preserve"> población negra afrodescendiente</w:t>
      </w:r>
      <w:r w:rsidR="00636A4A" w:rsidRPr="00D608D7">
        <w:rPr>
          <w:rFonts w:ascii="Arial" w:hAnsi="Arial" w:cs="Arial"/>
          <w:sz w:val="22"/>
          <w:szCs w:val="22"/>
          <w:lang w:val="es-ES_tradnl"/>
        </w:rPr>
        <w:t xml:space="preserve"> (</w:t>
      </w:r>
      <w:r w:rsidR="007C38F1" w:rsidRPr="00D608D7">
        <w:rPr>
          <w:rFonts w:ascii="Arial" w:hAnsi="Arial" w:cs="Arial"/>
          <w:sz w:val="22"/>
          <w:szCs w:val="22"/>
          <w:lang w:val="es-ES_tradnl"/>
        </w:rPr>
        <w:t>raizal</w:t>
      </w:r>
      <w:r w:rsidR="00636A4A" w:rsidRPr="00D608D7">
        <w:rPr>
          <w:rFonts w:ascii="Arial" w:hAnsi="Arial" w:cs="Arial"/>
          <w:sz w:val="22"/>
          <w:szCs w:val="22"/>
          <w:lang w:val="es-ES_tradnl"/>
        </w:rPr>
        <w:t xml:space="preserve"> y </w:t>
      </w:r>
      <w:r w:rsidR="007C38F1" w:rsidRPr="00D608D7">
        <w:rPr>
          <w:rFonts w:ascii="Arial" w:hAnsi="Arial" w:cs="Arial"/>
          <w:sz w:val="22"/>
          <w:szCs w:val="22"/>
          <w:lang w:val="es-ES_tradnl"/>
        </w:rPr>
        <w:t>palenquera</w:t>
      </w:r>
      <w:r w:rsidR="00636A4A" w:rsidRPr="00D608D7">
        <w:rPr>
          <w:rFonts w:ascii="Arial" w:hAnsi="Arial" w:cs="Arial"/>
          <w:sz w:val="22"/>
          <w:szCs w:val="22"/>
          <w:lang w:val="es-ES_tradnl"/>
        </w:rPr>
        <w:t>)</w:t>
      </w:r>
      <w:r w:rsidR="007C38F1" w:rsidRPr="00D608D7">
        <w:rPr>
          <w:rFonts w:ascii="Arial" w:hAnsi="Arial" w:cs="Arial"/>
          <w:sz w:val="22"/>
          <w:szCs w:val="22"/>
          <w:lang w:val="es-ES_tradnl"/>
        </w:rPr>
        <w:t xml:space="preserve">, </w:t>
      </w:r>
      <w:r w:rsidR="00636A4A" w:rsidRPr="00D608D7">
        <w:rPr>
          <w:rFonts w:ascii="Arial" w:hAnsi="Arial" w:cs="Arial"/>
          <w:sz w:val="22"/>
          <w:szCs w:val="22"/>
          <w:lang w:val="es-ES_tradnl"/>
        </w:rPr>
        <w:t xml:space="preserve">población </w:t>
      </w:r>
      <w:r w:rsidR="007C38F1" w:rsidRPr="00D608D7">
        <w:rPr>
          <w:rFonts w:ascii="Arial" w:hAnsi="Arial" w:cs="Arial"/>
          <w:sz w:val="22"/>
          <w:szCs w:val="22"/>
          <w:lang w:val="es-ES_tradnl"/>
        </w:rPr>
        <w:t>gitana</w:t>
      </w:r>
      <w:r w:rsidR="00636A4A" w:rsidRPr="00D608D7">
        <w:rPr>
          <w:rFonts w:ascii="Arial" w:hAnsi="Arial" w:cs="Arial"/>
          <w:sz w:val="22"/>
          <w:szCs w:val="22"/>
          <w:lang w:val="es-ES_tradnl"/>
        </w:rPr>
        <w:t xml:space="preserve"> o Rom</w:t>
      </w:r>
      <w:r w:rsidR="007C38F1" w:rsidRPr="00D608D7">
        <w:rPr>
          <w:rFonts w:ascii="Arial" w:hAnsi="Arial" w:cs="Arial"/>
          <w:sz w:val="22"/>
          <w:szCs w:val="22"/>
          <w:lang w:val="es-ES_tradnl"/>
        </w:rPr>
        <w:t xml:space="preserve"> </w:t>
      </w:r>
      <w:r w:rsidR="00636A4A" w:rsidRPr="00D608D7">
        <w:rPr>
          <w:rFonts w:ascii="Arial" w:hAnsi="Arial" w:cs="Arial"/>
          <w:sz w:val="22"/>
          <w:szCs w:val="22"/>
          <w:lang w:val="es-ES_tradnl"/>
        </w:rPr>
        <w:t>y población</w:t>
      </w:r>
      <w:r w:rsidR="007C38F1" w:rsidRPr="00D608D7">
        <w:rPr>
          <w:rFonts w:ascii="Arial" w:hAnsi="Arial" w:cs="Arial"/>
          <w:sz w:val="22"/>
          <w:szCs w:val="22"/>
          <w:lang w:val="es-ES_tradnl"/>
        </w:rPr>
        <w:t xml:space="preserve"> indígena.</w:t>
      </w:r>
    </w:p>
    <w:p w:rsidR="007C38F1" w:rsidRPr="00D608D7" w:rsidRDefault="007C38F1" w:rsidP="00D608D7">
      <w:pPr>
        <w:autoSpaceDE w:val="0"/>
        <w:autoSpaceDN w:val="0"/>
        <w:adjustRightInd w:val="0"/>
        <w:jc w:val="both"/>
        <w:rPr>
          <w:rFonts w:ascii="Arial" w:hAnsi="Arial" w:cs="Arial"/>
          <w:sz w:val="22"/>
          <w:szCs w:val="22"/>
          <w:lang w:val="es-ES_tradnl"/>
        </w:rPr>
      </w:pPr>
    </w:p>
    <w:p w:rsidR="007C38F1" w:rsidRPr="00D608D7" w:rsidRDefault="007C38F1" w:rsidP="00D608D7">
      <w:pPr>
        <w:autoSpaceDE w:val="0"/>
        <w:autoSpaceDN w:val="0"/>
        <w:adjustRightInd w:val="0"/>
        <w:jc w:val="both"/>
        <w:rPr>
          <w:rFonts w:ascii="Arial" w:hAnsi="Arial" w:cs="Arial"/>
          <w:b/>
          <w:sz w:val="22"/>
          <w:szCs w:val="22"/>
          <w:lang w:val="es-ES_tradnl"/>
        </w:rPr>
      </w:pPr>
      <w:r w:rsidRPr="00D608D7">
        <w:rPr>
          <w:rFonts w:ascii="Arial" w:hAnsi="Arial" w:cs="Arial"/>
          <w:b/>
          <w:sz w:val="22"/>
          <w:szCs w:val="22"/>
          <w:lang w:val="es-ES_tradnl"/>
        </w:rPr>
        <w:t>Población afrodescendiente</w:t>
      </w:r>
      <w:r w:rsidR="00687808" w:rsidRPr="00D608D7">
        <w:rPr>
          <w:rFonts w:ascii="Arial" w:hAnsi="Arial" w:cs="Arial"/>
          <w:b/>
          <w:sz w:val="22"/>
          <w:szCs w:val="22"/>
          <w:lang w:val="es-ES_tradnl"/>
        </w:rPr>
        <w:t xml:space="preserve"> en Bogotá</w:t>
      </w:r>
    </w:p>
    <w:p w:rsidR="007C38F1" w:rsidRPr="00D608D7" w:rsidRDefault="007C38F1" w:rsidP="00D608D7">
      <w:pPr>
        <w:autoSpaceDE w:val="0"/>
        <w:autoSpaceDN w:val="0"/>
        <w:adjustRightInd w:val="0"/>
        <w:jc w:val="both"/>
        <w:rPr>
          <w:rFonts w:ascii="Arial" w:hAnsi="Arial" w:cs="Arial"/>
          <w:sz w:val="22"/>
          <w:szCs w:val="22"/>
          <w:lang w:val="es-ES_tradnl"/>
        </w:rPr>
      </w:pPr>
    </w:p>
    <w:p w:rsidR="007C38F1" w:rsidRPr="00D608D7" w:rsidRDefault="007C38F1"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De</w:t>
      </w:r>
      <w:r w:rsidR="00687808" w:rsidRPr="00D608D7">
        <w:rPr>
          <w:rFonts w:ascii="Arial" w:hAnsi="Arial" w:cs="Arial"/>
          <w:sz w:val="22"/>
          <w:szCs w:val="22"/>
          <w:lang w:val="es-ES_tradnl"/>
        </w:rPr>
        <w:t xml:space="preserve"> acuerdo con la gerencia de etnias del IDPAC, de</w:t>
      </w:r>
      <w:r w:rsidRPr="00D608D7">
        <w:rPr>
          <w:rFonts w:ascii="Arial" w:hAnsi="Arial" w:cs="Arial"/>
          <w:sz w:val="22"/>
          <w:szCs w:val="22"/>
          <w:lang w:val="es-ES_tradnl"/>
        </w:rPr>
        <w:t>ntro de la población negra o afrocolombiana se distinguen dos etnias con rasgos identitarios y culturales distintos:</w:t>
      </w:r>
    </w:p>
    <w:p w:rsidR="00687808" w:rsidRPr="00D608D7" w:rsidRDefault="00687808" w:rsidP="00D608D7">
      <w:pPr>
        <w:autoSpaceDE w:val="0"/>
        <w:autoSpaceDN w:val="0"/>
        <w:adjustRightInd w:val="0"/>
        <w:jc w:val="both"/>
        <w:rPr>
          <w:rFonts w:ascii="Arial" w:hAnsi="Arial" w:cs="Arial"/>
          <w:sz w:val="22"/>
          <w:szCs w:val="22"/>
          <w:lang w:val="es-ES_tradnl"/>
        </w:rPr>
      </w:pPr>
    </w:p>
    <w:p w:rsidR="00D608D7" w:rsidRPr="00D608D7" w:rsidRDefault="007C38F1" w:rsidP="00D608D7">
      <w:pPr>
        <w:numPr>
          <w:ilvl w:val="0"/>
          <w:numId w:val="1"/>
        </w:numPr>
        <w:autoSpaceDE w:val="0"/>
        <w:autoSpaceDN w:val="0"/>
        <w:adjustRightInd w:val="0"/>
        <w:ind w:left="0" w:firstLine="0"/>
        <w:jc w:val="both"/>
        <w:rPr>
          <w:rFonts w:ascii="Arial" w:hAnsi="Arial" w:cs="Arial"/>
          <w:sz w:val="22"/>
          <w:szCs w:val="22"/>
          <w:lang w:val="es-ES_tradnl"/>
        </w:rPr>
      </w:pPr>
      <w:r w:rsidRPr="00D608D7">
        <w:rPr>
          <w:rFonts w:ascii="Arial" w:hAnsi="Arial" w:cs="Arial"/>
          <w:b/>
          <w:bCs/>
          <w:sz w:val="22"/>
          <w:szCs w:val="22"/>
          <w:lang w:val="es-ES_tradnl"/>
        </w:rPr>
        <w:t xml:space="preserve">Población </w:t>
      </w:r>
      <w:r w:rsidR="00D608D7">
        <w:rPr>
          <w:rFonts w:ascii="Arial" w:hAnsi="Arial" w:cs="Arial"/>
          <w:b/>
          <w:bCs/>
          <w:sz w:val="22"/>
          <w:szCs w:val="22"/>
          <w:lang w:val="es-ES_tradnl"/>
        </w:rPr>
        <w:t>Raizal</w:t>
      </w:r>
    </w:p>
    <w:p w:rsidR="00D608D7" w:rsidRDefault="00D608D7" w:rsidP="00D608D7">
      <w:pPr>
        <w:autoSpaceDE w:val="0"/>
        <w:autoSpaceDN w:val="0"/>
        <w:adjustRightInd w:val="0"/>
        <w:jc w:val="both"/>
        <w:rPr>
          <w:rFonts w:ascii="Arial" w:hAnsi="Arial" w:cs="Arial"/>
          <w:sz w:val="22"/>
          <w:szCs w:val="22"/>
          <w:lang w:val="es-ES_tradnl"/>
        </w:rPr>
      </w:pPr>
    </w:p>
    <w:p w:rsidR="007C38F1" w:rsidRPr="00D608D7" w:rsidRDefault="007C38F1"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El grupo étnico raizal está constituido por los nativos ancestrales del Archipiélago de San Andrés, Providencia y Santa Catalina. Su carácter insular, costumbres, prácticas religiosas y su lengua hacen de esta etnia, un grupo claramente diferenciado del resto de la sociedad nacional</w:t>
      </w:r>
      <w:r w:rsidR="00687808" w:rsidRPr="00D608D7">
        <w:rPr>
          <w:rFonts w:ascii="Arial" w:hAnsi="Arial" w:cs="Arial"/>
          <w:sz w:val="22"/>
          <w:szCs w:val="22"/>
          <w:lang w:val="es-ES_tradnl"/>
        </w:rPr>
        <w:t>. S</w:t>
      </w:r>
      <w:r w:rsidRPr="00D608D7">
        <w:rPr>
          <w:rFonts w:ascii="Arial" w:hAnsi="Arial" w:cs="Arial"/>
          <w:sz w:val="22"/>
          <w:szCs w:val="22"/>
          <w:lang w:val="es-ES_tradnl"/>
        </w:rPr>
        <w:t xml:space="preserve">egún datos del DANE (2005), </w:t>
      </w:r>
      <w:r w:rsidRPr="00D608D7">
        <w:rPr>
          <w:rFonts w:ascii="Arial" w:hAnsi="Arial" w:cs="Arial"/>
          <w:b/>
          <w:sz w:val="22"/>
          <w:szCs w:val="22"/>
          <w:lang w:val="es-ES_tradnl"/>
        </w:rPr>
        <w:t>en Bogotá viven 1.355 raizales.</w:t>
      </w:r>
      <w:r w:rsidRPr="00D608D7">
        <w:rPr>
          <w:rFonts w:ascii="Arial" w:hAnsi="Arial" w:cs="Arial"/>
          <w:sz w:val="22"/>
          <w:szCs w:val="22"/>
          <w:lang w:val="es-ES_tradnl"/>
        </w:rPr>
        <w:t> </w:t>
      </w:r>
    </w:p>
    <w:p w:rsidR="00D608D7" w:rsidRPr="00D608D7" w:rsidRDefault="00D608D7" w:rsidP="00D608D7">
      <w:pPr>
        <w:autoSpaceDE w:val="0"/>
        <w:autoSpaceDN w:val="0"/>
        <w:adjustRightInd w:val="0"/>
        <w:jc w:val="both"/>
        <w:rPr>
          <w:rFonts w:ascii="Arial" w:hAnsi="Arial" w:cs="Arial"/>
          <w:sz w:val="22"/>
          <w:szCs w:val="22"/>
          <w:lang w:val="es-ES_tradnl"/>
        </w:rPr>
      </w:pPr>
    </w:p>
    <w:p w:rsidR="00D608D7" w:rsidRPr="00D608D7" w:rsidRDefault="007C38F1" w:rsidP="00D608D7">
      <w:pPr>
        <w:numPr>
          <w:ilvl w:val="0"/>
          <w:numId w:val="1"/>
        </w:numPr>
        <w:autoSpaceDE w:val="0"/>
        <w:autoSpaceDN w:val="0"/>
        <w:adjustRightInd w:val="0"/>
        <w:ind w:left="0" w:firstLine="0"/>
        <w:jc w:val="both"/>
        <w:rPr>
          <w:rFonts w:ascii="Arial" w:hAnsi="Arial" w:cs="Arial"/>
          <w:sz w:val="22"/>
          <w:szCs w:val="22"/>
          <w:lang w:val="es-ES_tradnl"/>
        </w:rPr>
      </w:pPr>
      <w:r w:rsidRPr="00D608D7">
        <w:rPr>
          <w:rFonts w:ascii="Arial" w:hAnsi="Arial" w:cs="Arial"/>
          <w:b/>
          <w:bCs/>
          <w:sz w:val="22"/>
          <w:szCs w:val="22"/>
          <w:lang w:val="es-ES_tradnl"/>
        </w:rPr>
        <w:t>Población Palenquera</w:t>
      </w:r>
    </w:p>
    <w:p w:rsidR="00D608D7" w:rsidRDefault="00D608D7" w:rsidP="00D608D7">
      <w:pPr>
        <w:autoSpaceDE w:val="0"/>
        <w:autoSpaceDN w:val="0"/>
        <w:adjustRightInd w:val="0"/>
        <w:jc w:val="both"/>
        <w:rPr>
          <w:rFonts w:ascii="Arial" w:hAnsi="Arial" w:cs="Arial"/>
          <w:sz w:val="22"/>
          <w:szCs w:val="22"/>
          <w:lang w:val="es-ES_tradnl"/>
        </w:rPr>
      </w:pPr>
    </w:p>
    <w:p w:rsidR="007C38F1" w:rsidRPr="00D608D7" w:rsidRDefault="00D608D7" w:rsidP="00D608D7">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w:t>
      </w:r>
      <w:r w:rsidR="007C38F1" w:rsidRPr="00D608D7">
        <w:rPr>
          <w:rFonts w:ascii="Arial" w:hAnsi="Arial" w:cs="Arial"/>
          <w:sz w:val="22"/>
          <w:szCs w:val="22"/>
          <w:lang w:val="es-ES_tradnl"/>
        </w:rPr>
        <w:t>onformada por los descendientes de los esclavizados que mediante actos de resistencia se refugiaron en los territorios de la costa norte de Colombia desde el siglo XV, denominados palenques.  La comunidad de San Basilio de Palenque</w:t>
      </w:r>
      <w:r w:rsidR="005A022C" w:rsidRPr="00D608D7">
        <w:rPr>
          <w:rFonts w:ascii="Arial" w:hAnsi="Arial" w:cs="Arial"/>
          <w:sz w:val="22"/>
          <w:szCs w:val="22"/>
          <w:lang w:val="es-ES_tradnl"/>
        </w:rPr>
        <w:t xml:space="preserve"> (departamento de Bolívar)</w:t>
      </w:r>
      <w:r w:rsidR="007C38F1" w:rsidRPr="00D608D7">
        <w:rPr>
          <w:rFonts w:ascii="Arial" w:hAnsi="Arial" w:cs="Arial"/>
          <w:sz w:val="22"/>
          <w:szCs w:val="22"/>
          <w:lang w:val="es-ES_tradnl"/>
        </w:rPr>
        <w:t>, único existente, conserva una conciencia étnica que le permite identificarse como grupo específico; posee la única lengua criolla con base léxica española, una organización social basada en los Ma - Kuagro (grupos de edad), así como rituales fúnebres como el Lumbalú o prácticas de medicina tradicional, que evidencia</w:t>
      </w:r>
      <w:r w:rsidR="005A022C" w:rsidRPr="00D608D7">
        <w:rPr>
          <w:rFonts w:ascii="Arial" w:hAnsi="Arial" w:cs="Arial"/>
          <w:sz w:val="22"/>
          <w:szCs w:val="22"/>
          <w:lang w:val="es-ES_tradnl"/>
        </w:rPr>
        <w:t>n</w:t>
      </w:r>
      <w:r w:rsidR="007C38F1" w:rsidRPr="00D608D7">
        <w:rPr>
          <w:rFonts w:ascii="Arial" w:hAnsi="Arial" w:cs="Arial"/>
          <w:sz w:val="22"/>
          <w:szCs w:val="22"/>
          <w:lang w:val="es-ES_tradnl"/>
        </w:rPr>
        <w:t xml:space="preserve"> un sistema cultural y espiritual sobre la vida y la muerte.</w:t>
      </w:r>
    </w:p>
    <w:p w:rsidR="007C38F1" w:rsidRPr="00D608D7" w:rsidRDefault="007C38F1" w:rsidP="00D608D7">
      <w:pPr>
        <w:autoSpaceDE w:val="0"/>
        <w:autoSpaceDN w:val="0"/>
        <w:adjustRightInd w:val="0"/>
        <w:jc w:val="both"/>
        <w:rPr>
          <w:rFonts w:ascii="Arial" w:hAnsi="Arial" w:cs="Arial"/>
          <w:sz w:val="22"/>
          <w:szCs w:val="22"/>
          <w:lang w:val="es-ES_tradnl"/>
        </w:rPr>
      </w:pPr>
    </w:p>
    <w:p w:rsidR="005A022C" w:rsidRPr="00D608D7" w:rsidRDefault="007C38F1"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De acuerdo a los datos del censo del año 2.005, en Bogotá existen 97.885 personas afrodescendientes, que corresponden al 1,49% de la población total.</w:t>
      </w:r>
      <w:r w:rsidR="005A022C" w:rsidRPr="00D608D7">
        <w:rPr>
          <w:rFonts w:ascii="Arial" w:hAnsi="Arial" w:cs="Arial"/>
          <w:sz w:val="22"/>
          <w:szCs w:val="22"/>
          <w:lang w:val="es-ES_tradnl"/>
        </w:rPr>
        <w:t xml:space="preserve"> Tomando los datos de la encuesta multipropósito del 2011 </w:t>
      </w:r>
      <w:r w:rsidR="005A022C" w:rsidRPr="00D608D7">
        <w:rPr>
          <w:rFonts w:ascii="Arial" w:hAnsi="Arial" w:cs="Arial"/>
          <w:b/>
          <w:sz w:val="22"/>
          <w:szCs w:val="22"/>
          <w:lang w:val="es-ES_tradnl"/>
        </w:rPr>
        <w:t>la población afrodescendiente de Bogotá ascendió a 108.058 personas</w:t>
      </w:r>
      <w:r w:rsidR="005A022C" w:rsidRPr="00D608D7">
        <w:rPr>
          <w:rFonts w:ascii="Arial" w:hAnsi="Arial" w:cs="Arial"/>
          <w:sz w:val="22"/>
          <w:szCs w:val="22"/>
          <w:lang w:val="es-ES_tradnl"/>
        </w:rPr>
        <w:t>.</w:t>
      </w:r>
    </w:p>
    <w:p w:rsidR="007C38F1" w:rsidRPr="00D608D7" w:rsidRDefault="007C38F1" w:rsidP="00D608D7">
      <w:pPr>
        <w:autoSpaceDE w:val="0"/>
        <w:autoSpaceDN w:val="0"/>
        <w:adjustRightInd w:val="0"/>
        <w:jc w:val="both"/>
        <w:rPr>
          <w:rFonts w:ascii="Arial" w:hAnsi="Arial" w:cs="Arial"/>
          <w:sz w:val="22"/>
          <w:szCs w:val="22"/>
          <w:lang w:val="es-ES_tradnl"/>
        </w:rPr>
      </w:pPr>
    </w:p>
    <w:p w:rsidR="00D608D7" w:rsidRDefault="006A03E1"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Según el estudio “Demografía, población y diversidad” (2014) de la Secretaría Distrital de Planeación</w:t>
      </w:r>
      <w:r w:rsidRPr="00D608D7">
        <w:rPr>
          <w:rStyle w:val="Refdenotaalpie"/>
          <w:rFonts w:ascii="Arial" w:hAnsi="Arial" w:cs="Arial"/>
          <w:sz w:val="22"/>
          <w:szCs w:val="22"/>
          <w:lang w:val="es-ES_tradnl"/>
        </w:rPr>
        <w:footnoteReference w:id="2"/>
      </w:r>
      <w:r w:rsidR="00485603" w:rsidRPr="00D608D7">
        <w:rPr>
          <w:rFonts w:ascii="Arial" w:hAnsi="Arial" w:cs="Arial"/>
          <w:sz w:val="22"/>
          <w:szCs w:val="22"/>
          <w:lang w:val="es-ES_tradnl"/>
        </w:rPr>
        <w:t xml:space="preserve">, el Censo 2005 mostró que para el caso de la población afrodescendiente el </w:t>
      </w:r>
      <w:r w:rsidRPr="00D608D7">
        <w:rPr>
          <w:rFonts w:ascii="Arial" w:hAnsi="Arial" w:cs="Arial"/>
          <w:sz w:val="22"/>
          <w:szCs w:val="22"/>
          <w:lang w:val="es-ES_tradnl"/>
        </w:rPr>
        <w:t xml:space="preserve"> </w:t>
      </w:r>
      <w:r w:rsidR="00485603" w:rsidRPr="00D608D7">
        <w:rPr>
          <w:rFonts w:ascii="Arial" w:hAnsi="Arial" w:cs="Arial"/>
          <w:sz w:val="22"/>
          <w:szCs w:val="22"/>
          <w:lang w:val="es-ES_tradnl"/>
        </w:rPr>
        <w:t xml:space="preserve">60,4% de las madres no residían en Bogotá cuando la persona encuestada nació. En el caso de la encuesta multipropósito del 2011, el 66,6% de la población afrodescendiente encuestada manifiesta que sus madres no residían en Bogotá en el momento en que </w:t>
      </w:r>
      <w:r w:rsidR="00485603" w:rsidRPr="00D608D7">
        <w:rPr>
          <w:rFonts w:ascii="Arial" w:hAnsi="Arial" w:cs="Arial"/>
          <w:sz w:val="22"/>
          <w:szCs w:val="22"/>
          <w:lang w:val="es-ES_tradnl"/>
        </w:rPr>
        <w:lastRenderedPageBreak/>
        <w:t xml:space="preserve">nacieron. Este aumento en el porcentaje puede ser un indicador de que la población afrodescendiente se constituye en buena parte por personas que han migrado recientemente a Bogotá.  </w:t>
      </w:r>
      <w:r w:rsidR="00DC4996" w:rsidRPr="00D608D7">
        <w:rPr>
          <w:rFonts w:ascii="Arial" w:hAnsi="Arial" w:cs="Arial"/>
          <w:sz w:val="22"/>
          <w:szCs w:val="22"/>
          <w:lang w:val="es-ES_tradnl"/>
        </w:rPr>
        <w:t xml:space="preserve">Esta </w:t>
      </w:r>
      <w:r w:rsidR="009E55CD" w:rsidRPr="00D608D7">
        <w:rPr>
          <w:rFonts w:ascii="Arial" w:hAnsi="Arial" w:cs="Arial"/>
          <w:sz w:val="22"/>
          <w:szCs w:val="22"/>
          <w:lang w:val="es-ES_tradnl"/>
        </w:rPr>
        <w:t xml:space="preserve">información puede complementarse con la distribución etaria que muestra el Censo de 2005 de la población afrodescendiente en comparación con la población “sin pertenencia étnica”. Como puede verse en la gráfica, el mayor porcentaje de población afrodescendiente se ubica en la franja entre los 20 y 40 años. </w:t>
      </w:r>
      <w:r w:rsidRPr="00D608D7">
        <w:rPr>
          <w:rFonts w:ascii="Arial" w:hAnsi="Arial" w:cs="Arial"/>
          <w:sz w:val="22"/>
          <w:szCs w:val="22"/>
          <w:lang w:val="es-ES_tradnl"/>
        </w:rPr>
        <w:t xml:space="preserve"> </w:t>
      </w:r>
    </w:p>
    <w:p w:rsidR="007C38F1" w:rsidRPr="00D608D7" w:rsidRDefault="008F3C94"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 </w:t>
      </w:r>
      <w:r w:rsidR="00552EE4" w:rsidRPr="00D608D7">
        <w:rPr>
          <w:rFonts w:ascii="Arial" w:hAnsi="Arial" w:cs="Arial"/>
          <w:sz w:val="22"/>
          <w:szCs w:val="22"/>
          <w:lang w:val="es-ES_tradnl"/>
        </w:rPr>
        <w:t xml:space="preserve">   </w:t>
      </w:r>
    </w:p>
    <w:p w:rsidR="008F3C94" w:rsidRPr="00D608D7" w:rsidRDefault="00B27261" w:rsidP="00D608D7">
      <w:pPr>
        <w:autoSpaceDE w:val="0"/>
        <w:autoSpaceDN w:val="0"/>
        <w:adjustRightInd w:val="0"/>
        <w:jc w:val="center"/>
        <w:rPr>
          <w:rFonts w:ascii="Arial" w:hAnsi="Arial" w:cs="Arial"/>
          <w:sz w:val="22"/>
          <w:szCs w:val="22"/>
          <w:lang w:val="es-ES_tradnl"/>
        </w:rPr>
      </w:pPr>
      <w:r w:rsidRPr="00D608D7">
        <w:rPr>
          <w:rFonts w:ascii="Arial" w:hAnsi="Arial" w:cs="Arial"/>
          <w:noProof/>
          <w:sz w:val="22"/>
          <w:szCs w:val="22"/>
          <w:lang w:eastAsia="es-CO"/>
        </w:rPr>
        <w:drawing>
          <wp:inline distT="0" distB="0" distL="0" distR="0">
            <wp:extent cx="3414180" cy="2131255"/>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6-28 a la(s) 2.50.57 p. m..png"/>
                    <pic:cNvPicPr/>
                  </pic:nvPicPr>
                  <pic:blipFill>
                    <a:blip r:embed="rId7">
                      <a:extLst>
                        <a:ext uri="{28A0092B-C50C-407E-A947-70E740481C1C}">
                          <a14:useLocalDpi xmlns:a14="http://schemas.microsoft.com/office/drawing/2010/main" val="0"/>
                        </a:ext>
                      </a:extLst>
                    </a:blip>
                    <a:stretch>
                      <a:fillRect/>
                    </a:stretch>
                  </pic:blipFill>
                  <pic:spPr>
                    <a:xfrm>
                      <a:off x="0" y="0"/>
                      <a:ext cx="3433848" cy="2143533"/>
                    </a:xfrm>
                    <a:prstGeom prst="rect">
                      <a:avLst/>
                    </a:prstGeom>
                  </pic:spPr>
                </pic:pic>
              </a:graphicData>
            </a:graphic>
          </wp:inline>
        </w:drawing>
      </w:r>
    </w:p>
    <w:p w:rsidR="008F3C94" w:rsidRPr="00D608D7" w:rsidRDefault="00552EE4" w:rsidP="00D608D7">
      <w:pPr>
        <w:autoSpaceDE w:val="0"/>
        <w:autoSpaceDN w:val="0"/>
        <w:adjustRightInd w:val="0"/>
        <w:jc w:val="center"/>
        <w:rPr>
          <w:rFonts w:ascii="Arial" w:hAnsi="Arial" w:cs="Arial"/>
          <w:sz w:val="16"/>
          <w:szCs w:val="22"/>
          <w:lang w:val="es-ES_tradnl"/>
        </w:rPr>
      </w:pPr>
      <w:r w:rsidRPr="00D608D7">
        <w:rPr>
          <w:rFonts w:ascii="Arial" w:hAnsi="Arial" w:cs="Arial"/>
          <w:sz w:val="16"/>
          <w:szCs w:val="22"/>
          <w:lang w:val="es-ES_tradnl"/>
        </w:rPr>
        <w:t xml:space="preserve">Tomado de “Demografía, población y diversidad”, p. </w:t>
      </w:r>
      <w:r w:rsidR="00370BDF" w:rsidRPr="00D608D7">
        <w:rPr>
          <w:rFonts w:ascii="Arial" w:hAnsi="Arial" w:cs="Arial"/>
          <w:sz w:val="16"/>
          <w:szCs w:val="22"/>
          <w:lang w:val="es-ES_tradnl"/>
        </w:rPr>
        <w:t>309</w:t>
      </w:r>
    </w:p>
    <w:p w:rsidR="00897F06" w:rsidRPr="00D608D7" w:rsidRDefault="00897F06" w:rsidP="00D608D7">
      <w:pPr>
        <w:autoSpaceDE w:val="0"/>
        <w:autoSpaceDN w:val="0"/>
        <w:adjustRightInd w:val="0"/>
        <w:jc w:val="both"/>
        <w:rPr>
          <w:rFonts w:ascii="Arial" w:hAnsi="Arial" w:cs="Arial"/>
          <w:sz w:val="22"/>
          <w:szCs w:val="22"/>
          <w:lang w:val="es-ES_tradnl"/>
        </w:rPr>
      </w:pPr>
    </w:p>
    <w:p w:rsidR="00897F06" w:rsidRPr="00D608D7" w:rsidRDefault="00897F06"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Con respecto a la distribución de la población en el territorio, la encuesta multipropósito del 2011 muestra una mayor presencia de afrodescendientes en los conglomerados occidental, sur-sur y centro-sur, respectivamente.</w:t>
      </w:r>
    </w:p>
    <w:p w:rsidR="00897F06" w:rsidRPr="00D608D7" w:rsidRDefault="00897F06" w:rsidP="00D608D7">
      <w:pPr>
        <w:autoSpaceDE w:val="0"/>
        <w:autoSpaceDN w:val="0"/>
        <w:adjustRightInd w:val="0"/>
        <w:jc w:val="both"/>
        <w:rPr>
          <w:rFonts w:ascii="Arial" w:hAnsi="Arial" w:cs="Arial"/>
          <w:sz w:val="22"/>
          <w:szCs w:val="22"/>
          <w:lang w:val="es-ES_tradnl"/>
        </w:rPr>
      </w:pPr>
    </w:p>
    <w:p w:rsidR="00552EE4" w:rsidRPr="00D608D7" w:rsidRDefault="00897F06" w:rsidP="00D608D7">
      <w:pPr>
        <w:autoSpaceDE w:val="0"/>
        <w:autoSpaceDN w:val="0"/>
        <w:adjustRightInd w:val="0"/>
        <w:jc w:val="center"/>
        <w:rPr>
          <w:rFonts w:ascii="Arial" w:hAnsi="Arial" w:cs="Arial"/>
          <w:sz w:val="22"/>
          <w:szCs w:val="22"/>
          <w:lang w:val="es-ES_tradnl"/>
        </w:rPr>
      </w:pPr>
      <w:r w:rsidRPr="00D608D7">
        <w:rPr>
          <w:rFonts w:ascii="Arial" w:hAnsi="Arial" w:cs="Arial"/>
          <w:noProof/>
          <w:sz w:val="22"/>
          <w:szCs w:val="22"/>
          <w:lang w:eastAsia="es-CO"/>
        </w:rPr>
        <w:drawing>
          <wp:inline distT="0" distB="0" distL="0" distR="0">
            <wp:extent cx="3481070" cy="179764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6-26 a la(s) 11.14.05 a. m..png"/>
                    <pic:cNvPicPr/>
                  </pic:nvPicPr>
                  <pic:blipFill>
                    <a:blip r:embed="rId8">
                      <a:extLst>
                        <a:ext uri="{28A0092B-C50C-407E-A947-70E740481C1C}">
                          <a14:useLocalDpi xmlns:a14="http://schemas.microsoft.com/office/drawing/2010/main" val="0"/>
                        </a:ext>
                      </a:extLst>
                    </a:blip>
                    <a:stretch>
                      <a:fillRect/>
                    </a:stretch>
                  </pic:blipFill>
                  <pic:spPr>
                    <a:xfrm>
                      <a:off x="0" y="0"/>
                      <a:ext cx="3558260" cy="1837508"/>
                    </a:xfrm>
                    <a:prstGeom prst="rect">
                      <a:avLst/>
                    </a:prstGeom>
                  </pic:spPr>
                </pic:pic>
              </a:graphicData>
            </a:graphic>
          </wp:inline>
        </w:drawing>
      </w:r>
    </w:p>
    <w:p w:rsidR="00897F06" w:rsidRPr="00D608D7" w:rsidRDefault="00897F06" w:rsidP="00D608D7">
      <w:pPr>
        <w:autoSpaceDE w:val="0"/>
        <w:autoSpaceDN w:val="0"/>
        <w:adjustRightInd w:val="0"/>
        <w:jc w:val="center"/>
        <w:rPr>
          <w:rFonts w:ascii="Arial" w:hAnsi="Arial" w:cs="Arial"/>
          <w:sz w:val="16"/>
          <w:szCs w:val="22"/>
          <w:lang w:val="es-ES_tradnl"/>
        </w:rPr>
      </w:pPr>
      <w:r w:rsidRPr="00D608D7">
        <w:rPr>
          <w:rFonts w:ascii="Arial" w:hAnsi="Arial" w:cs="Arial"/>
          <w:sz w:val="16"/>
          <w:szCs w:val="22"/>
          <w:lang w:val="es-ES_tradnl"/>
        </w:rPr>
        <w:t xml:space="preserve">Tomado de “Demografía, población y diversidad”, p. </w:t>
      </w:r>
      <w:r w:rsidR="00370BDF" w:rsidRPr="00D608D7">
        <w:rPr>
          <w:rFonts w:ascii="Arial" w:hAnsi="Arial" w:cs="Arial"/>
          <w:sz w:val="16"/>
          <w:szCs w:val="22"/>
          <w:lang w:val="es-ES_tradnl"/>
        </w:rPr>
        <w:t>315</w:t>
      </w:r>
    </w:p>
    <w:p w:rsidR="00AA4FAE" w:rsidRPr="00D608D7" w:rsidRDefault="00AA4FAE" w:rsidP="00D608D7">
      <w:pPr>
        <w:autoSpaceDE w:val="0"/>
        <w:autoSpaceDN w:val="0"/>
        <w:adjustRightInd w:val="0"/>
        <w:jc w:val="both"/>
        <w:rPr>
          <w:rFonts w:ascii="Arial" w:hAnsi="Arial" w:cs="Arial"/>
          <w:sz w:val="22"/>
          <w:szCs w:val="22"/>
          <w:lang w:val="es-ES_tradnl"/>
        </w:rPr>
      </w:pPr>
    </w:p>
    <w:p w:rsidR="00985FEB" w:rsidRPr="00D608D7" w:rsidRDefault="00370BDF"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Finalmente, con respecto al sector educativo oficial, la Encuesta de Clima Escolar 2015 refiere que 3000 estudiantes se identifican como afrocolombianos.</w:t>
      </w:r>
      <w:r w:rsidR="00BD27E9" w:rsidRPr="00D608D7">
        <w:rPr>
          <w:rFonts w:ascii="Arial" w:hAnsi="Arial" w:cs="Arial"/>
          <w:sz w:val="22"/>
          <w:szCs w:val="22"/>
          <w:lang w:val="es-ES_tradnl"/>
        </w:rPr>
        <w:t xml:space="preserve"> De acuerdo con las Notas técnicas en educación inclusiva, con relación a la población matriculada en el Sistema Educativo Oficial se identificaron en el año 2017 un total de 5.498 estudiantes auto reconocidos como pertenecientes a grupos étnicos.</w:t>
      </w:r>
    </w:p>
    <w:p w:rsidR="007C39D5" w:rsidRDefault="007C39D5" w:rsidP="00D608D7">
      <w:pPr>
        <w:autoSpaceDE w:val="0"/>
        <w:autoSpaceDN w:val="0"/>
        <w:adjustRightInd w:val="0"/>
        <w:jc w:val="both"/>
        <w:rPr>
          <w:rFonts w:ascii="Arial" w:hAnsi="Arial" w:cs="Arial"/>
          <w:sz w:val="22"/>
          <w:szCs w:val="22"/>
          <w:lang w:val="es-ES_tradnl"/>
        </w:rPr>
      </w:pPr>
    </w:p>
    <w:p w:rsidR="00D608D7" w:rsidRPr="00D608D7" w:rsidRDefault="00D608D7" w:rsidP="00D608D7">
      <w:pPr>
        <w:autoSpaceDE w:val="0"/>
        <w:autoSpaceDN w:val="0"/>
        <w:adjustRightInd w:val="0"/>
        <w:jc w:val="both"/>
        <w:rPr>
          <w:rFonts w:ascii="Arial" w:hAnsi="Arial" w:cs="Arial"/>
          <w:sz w:val="22"/>
          <w:szCs w:val="22"/>
          <w:lang w:val="es-ES_tradnl"/>
        </w:rPr>
      </w:pPr>
    </w:p>
    <w:p w:rsidR="00D608D7" w:rsidRPr="00D608D7" w:rsidRDefault="007C38F1" w:rsidP="00AC5800">
      <w:pPr>
        <w:pStyle w:val="Prrafodelista"/>
        <w:numPr>
          <w:ilvl w:val="0"/>
          <w:numId w:val="3"/>
        </w:numPr>
        <w:autoSpaceDE w:val="0"/>
        <w:autoSpaceDN w:val="0"/>
        <w:adjustRightInd w:val="0"/>
        <w:jc w:val="both"/>
        <w:rPr>
          <w:rFonts w:ascii="Arial" w:hAnsi="Arial" w:cs="Arial"/>
          <w:sz w:val="22"/>
          <w:szCs w:val="22"/>
          <w:lang w:val="es-ES_tradnl"/>
        </w:rPr>
      </w:pPr>
      <w:r w:rsidRPr="00D608D7">
        <w:rPr>
          <w:rFonts w:ascii="Arial" w:hAnsi="Arial" w:cs="Arial"/>
          <w:b/>
          <w:sz w:val="22"/>
          <w:szCs w:val="22"/>
          <w:lang w:val="es-ES_tradnl"/>
        </w:rPr>
        <w:lastRenderedPageBreak/>
        <w:t xml:space="preserve">Pueblo </w:t>
      </w:r>
      <w:r w:rsidR="00D608D7" w:rsidRPr="00D608D7">
        <w:rPr>
          <w:rFonts w:ascii="Arial" w:hAnsi="Arial" w:cs="Arial"/>
          <w:b/>
          <w:sz w:val="22"/>
          <w:szCs w:val="22"/>
          <w:lang w:val="es-ES_tradnl"/>
        </w:rPr>
        <w:t>R</w:t>
      </w:r>
      <w:r w:rsidRPr="00D608D7">
        <w:rPr>
          <w:rFonts w:ascii="Arial" w:hAnsi="Arial" w:cs="Arial"/>
          <w:b/>
          <w:sz w:val="22"/>
          <w:szCs w:val="22"/>
          <w:lang w:val="es-ES_tradnl"/>
        </w:rPr>
        <w:t>om</w:t>
      </w:r>
    </w:p>
    <w:p w:rsidR="00D608D7" w:rsidRPr="00D608D7" w:rsidRDefault="00D608D7" w:rsidP="00D608D7">
      <w:pPr>
        <w:pStyle w:val="Prrafodelista"/>
        <w:autoSpaceDE w:val="0"/>
        <w:autoSpaceDN w:val="0"/>
        <w:adjustRightInd w:val="0"/>
        <w:jc w:val="both"/>
        <w:rPr>
          <w:rFonts w:ascii="Arial" w:hAnsi="Arial" w:cs="Arial"/>
          <w:sz w:val="22"/>
          <w:szCs w:val="22"/>
          <w:lang w:val="es-ES_tradnl"/>
        </w:rPr>
      </w:pPr>
    </w:p>
    <w:p w:rsidR="007C38F1" w:rsidRPr="00D608D7" w:rsidRDefault="008B601E"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De acuerdo con la gerencia de etnias del IDPAC, el pueblo </w:t>
      </w:r>
      <w:r w:rsidR="00D608D7" w:rsidRPr="00D608D7">
        <w:rPr>
          <w:rFonts w:ascii="Arial" w:hAnsi="Arial" w:cs="Arial"/>
          <w:sz w:val="22"/>
          <w:szCs w:val="22"/>
          <w:lang w:val="es-ES_tradnl"/>
        </w:rPr>
        <w:t>Rom</w:t>
      </w:r>
      <w:r w:rsidRPr="00D608D7">
        <w:rPr>
          <w:rFonts w:ascii="Arial" w:hAnsi="Arial" w:cs="Arial"/>
          <w:sz w:val="22"/>
          <w:szCs w:val="22"/>
          <w:lang w:val="es-ES_tradnl"/>
        </w:rPr>
        <w:t xml:space="preserve"> o gitano</w:t>
      </w:r>
      <w:r w:rsidR="007C38F1" w:rsidRPr="00D608D7">
        <w:rPr>
          <w:rFonts w:ascii="Arial" w:hAnsi="Arial" w:cs="Arial"/>
          <w:sz w:val="22"/>
          <w:szCs w:val="22"/>
          <w:lang w:val="es-ES_tradnl"/>
        </w:rPr>
        <w:t xml:space="preserve"> tiene elementos culturales que los diferencian de los demás grupos étnicos del país, como la idea de un origen común, larga tradición nómade y su transformación en nuevas formas de itinerancia y valoración de la edad y el sexo como principios ordenadores de estatus”. En Bogotá </w:t>
      </w:r>
      <w:r w:rsidR="007C38F1" w:rsidRPr="00D608D7">
        <w:rPr>
          <w:rFonts w:ascii="Arial" w:hAnsi="Arial" w:cs="Arial"/>
          <w:b/>
          <w:sz w:val="22"/>
          <w:szCs w:val="22"/>
          <w:lang w:val="es-ES_tradnl"/>
        </w:rPr>
        <w:t>residen 523 miembros de esta etnia</w:t>
      </w:r>
      <w:r w:rsidR="007C38F1" w:rsidRPr="00D608D7">
        <w:rPr>
          <w:rFonts w:ascii="Arial" w:hAnsi="Arial" w:cs="Arial"/>
          <w:sz w:val="22"/>
          <w:szCs w:val="22"/>
          <w:lang w:val="es-ES_tradnl"/>
        </w:rPr>
        <w:t xml:space="preserve"> (DANE 2005) cuya población se organiza en  kumpanias y clanes. Según lo establecido en el Decreto 2957 del 2010 el Estado Colombiano reconoce a los Rom o Gitanos con una identidad propia que mantiene una conciencia étnica particular, posee sus propias formas de organización social, su propia lengua y sus propias instituciones políticas y sociales.</w:t>
      </w:r>
    </w:p>
    <w:p w:rsidR="007C38F1" w:rsidRPr="00D608D7" w:rsidRDefault="007C38F1" w:rsidP="00D608D7">
      <w:pPr>
        <w:autoSpaceDE w:val="0"/>
        <w:autoSpaceDN w:val="0"/>
        <w:adjustRightInd w:val="0"/>
        <w:jc w:val="both"/>
        <w:rPr>
          <w:rFonts w:ascii="Arial" w:hAnsi="Arial" w:cs="Arial"/>
          <w:sz w:val="22"/>
          <w:szCs w:val="22"/>
          <w:lang w:val="es-ES_tradnl"/>
        </w:rPr>
      </w:pPr>
    </w:p>
    <w:p w:rsidR="008B601E" w:rsidRPr="00D608D7" w:rsidRDefault="008B601E"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De acuerdo con la encuesta multipropósito del 2011, el grupo Rom pasa de 523 personas, el 0,01% de la población total, a 1816, el 0,024%; aunque, según el libro “Demografía, población y diversidad”,   para este grupo el error de muestreo es muy alto y la incertidumbre de este valor numérico es problemática. </w:t>
      </w:r>
    </w:p>
    <w:p w:rsidR="007C38F1" w:rsidRPr="00D608D7" w:rsidRDefault="007C38F1" w:rsidP="00D608D7">
      <w:pPr>
        <w:autoSpaceDE w:val="0"/>
        <w:autoSpaceDN w:val="0"/>
        <w:adjustRightInd w:val="0"/>
        <w:jc w:val="both"/>
        <w:rPr>
          <w:rFonts w:ascii="Arial" w:hAnsi="Arial" w:cs="Arial"/>
          <w:sz w:val="22"/>
          <w:szCs w:val="22"/>
          <w:lang w:val="es-ES_tradnl"/>
        </w:rPr>
      </w:pPr>
    </w:p>
    <w:p w:rsidR="00924780" w:rsidRPr="00D608D7" w:rsidRDefault="00924780"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Según el estudio “Demografía, población y diversidad” (2014), el Censo 2005 mostró que para el caso del pueblo Rom el  </w:t>
      </w:r>
      <w:r w:rsidR="001E4C92" w:rsidRPr="00D608D7">
        <w:rPr>
          <w:rFonts w:ascii="Arial" w:hAnsi="Arial" w:cs="Arial"/>
          <w:sz w:val="22"/>
          <w:szCs w:val="22"/>
          <w:lang w:val="es-ES_tradnl"/>
        </w:rPr>
        <w:t>32</w:t>
      </w:r>
      <w:r w:rsidRPr="00D608D7">
        <w:rPr>
          <w:rFonts w:ascii="Arial" w:hAnsi="Arial" w:cs="Arial"/>
          <w:sz w:val="22"/>
          <w:szCs w:val="22"/>
          <w:lang w:val="es-ES_tradnl"/>
        </w:rPr>
        <w:t>,</w:t>
      </w:r>
      <w:r w:rsidR="001E4C92" w:rsidRPr="00D608D7">
        <w:rPr>
          <w:rFonts w:ascii="Arial" w:hAnsi="Arial" w:cs="Arial"/>
          <w:sz w:val="22"/>
          <w:szCs w:val="22"/>
          <w:lang w:val="es-ES_tradnl"/>
        </w:rPr>
        <w:t>7</w:t>
      </w:r>
      <w:r w:rsidRPr="00D608D7">
        <w:rPr>
          <w:rFonts w:ascii="Arial" w:hAnsi="Arial" w:cs="Arial"/>
          <w:sz w:val="22"/>
          <w:szCs w:val="22"/>
          <w:lang w:val="es-ES_tradnl"/>
        </w:rPr>
        <w:t xml:space="preserve">% de las madres no residían en Bogotá cuando la persona encuestada nació. </w:t>
      </w:r>
    </w:p>
    <w:p w:rsidR="00924780" w:rsidRPr="00D608D7" w:rsidRDefault="00924780" w:rsidP="00D608D7">
      <w:pPr>
        <w:autoSpaceDE w:val="0"/>
        <w:autoSpaceDN w:val="0"/>
        <w:adjustRightInd w:val="0"/>
        <w:jc w:val="both"/>
        <w:rPr>
          <w:rFonts w:ascii="Arial" w:hAnsi="Arial" w:cs="Arial"/>
          <w:sz w:val="22"/>
          <w:szCs w:val="22"/>
          <w:lang w:val="es-ES_tradnl"/>
        </w:rPr>
      </w:pPr>
    </w:p>
    <w:p w:rsidR="007C38F1" w:rsidRPr="00D608D7" w:rsidRDefault="007C38F1" w:rsidP="00D608D7">
      <w:pPr>
        <w:pStyle w:val="Prrafodelista"/>
        <w:numPr>
          <w:ilvl w:val="0"/>
          <w:numId w:val="3"/>
        </w:numPr>
        <w:autoSpaceDE w:val="0"/>
        <w:autoSpaceDN w:val="0"/>
        <w:adjustRightInd w:val="0"/>
        <w:jc w:val="both"/>
        <w:rPr>
          <w:rFonts w:ascii="Arial" w:hAnsi="Arial" w:cs="Arial"/>
          <w:b/>
          <w:sz w:val="22"/>
          <w:szCs w:val="22"/>
          <w:lang w:val="es-ES_tradnl"/>
        </w:rPr>
      </w:pPr>
      <w:r w:rsidRPr="00D608D7">
        <w:rPr>
          <w:rFonts w:ascii="Arial" w:hAnsi="Arial" w:cs="Arial"/>
          <w:b/>
          <w:sz w:val="22"/>
          <w:szCs w:val="22"/>
          <w:lang w:val="es-ES_tradnl"/>
        </w:rPr>
        <w:t>Pueblo indígena</w:t>
      </w:r>
    </w:p>
    <w:p w:rsidR="007C38F1" w:rsidRPr="00D608D7" w:rsidRDefault="007C38F1" w:rsidP="00D608D7">
      <w:pPr>
        <w:autoSpaceDE w:val="0"/>
        <w:autoSpaceDN w:val="0"/>
        <w:adjustRightInd w:val="0"/>
        <w:jc w:val="both"/>
        <w:rPr>
          <w:rFonts w:ascii="Arial" w:hAnsi="Arial" w:cs="Arial"/>
          <w:sz w:val="22"/>
          <w:szCs w:val="22"/>
          <w:lang w:val="es-ES_tradnl"/>
        </w:rPr>
      </w:pPr>
    </w:p>
    <w:p w:rsidR="00BD27E9" w:rsidRPr="00D608D7" w:rsidRDefault="00BD27E9"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De acuerdo con la gerencia de etnias del IDPAC, en la ciudad de Bogotá, se encuentran 5 pueblos indígenas que están organizados en un Cabildo, que según el Decreto 2164 de 1995 se trata de “una entidad pública especial, cuyos integrantes son miembros de una comunidad indígena, elegidos y reconocidos por ésta, con una organización socio política tradicional, cuya función es representar legalmente a la comunidad, ejercer la autoridad y realizar las actividades que le atribuyen las leyes, sus usos, costumbres y el reglamento interno de cada comunidad”.Estos cabildos son: Cabildo Indígena Inga, Kichwa, Ambika Pijao, Muisca de Suba y Bosa, registrados ante la Dirección de Asuntos Indígenas Minorías y Rom del Ministerio del Interior. Los otros cabildos que no se encuentran registrados ante el Ministerio, pero cuya presencia y procesos organizativos son reconocidos: Nasa, Misak Misak, Yanacona, los Pastos, Uitoto, Kamëntsá, Eperara Siapidara, Wuonan, Tubu. Las autoridades tradicionales de estos pueblos integraron lo que hoy se conoce como el espacio autónomo de pueblos indígenas. Otra población cuya presencia se ha identificado en Bogotá pertenece a los pueblos Embera Chamí-Embera Katio, Kankuamo, Wayuu, Koreguaje, Arhuacos, Tucano, Ticuna, Zenú, kuweiwa o cubeos, Sionas, Sikuani.</w:t>
      </w:r>
    </w:p>
    <w:p w:rsidR="00BD27E9" w:rsidRPr="00D608D7" w:rsidRDefault="00BD27E9" w:rsidP="00D608D7">
      <w:pPr>
        <w:autoSpaceDE w:val="0"/>
        <w:autoSpaceDN w:val="0"/>
        <w:adjustRightInd w:val="0"/>
        <w:jc w:val="both"/>
        <w:rPr>
          <w:rFonts w:ascii="Arial" w:hAnsi="Arial" w:cs="Arial"/>
          <w:sz w:val="22"/>
          <w:szCs w:val="22"/>
          <w:lang w:val="es-ES_tradnl"/>
        </w:rPr>
      </w:pPr>
    </w:p>
    <w:p w:rsidR="009712A0" w:rsidRPr="00D608D7" w:rsidRDefault="00BD27E9"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El censo de población de 2005 DANE, utilizó como criterio de identificación de los diferentes grupos étnicos del país el auto reconocimiento cultural (basado en costumbres y tradiciones) o identificación por los rasgos físicos.  El censo de población arrojó como resultado para Bogotá 15.032 </w:t>
      </w:r>
      <w:r w:rsidR="009712A0" w:rsidRPr="00D608D7">
        <w:rPr>
          <w:rFonts w:ascii="Arial" w:hAnsi="Arial" w:cs="Arial"/>
          <w:sz w:val="22"/>
          <w:szCs w:val="22"/>
          <w:lang w:val="es-ES_tradnl"/>
        </w:rPr>
        <w:t xml:space="preserve">habitantes </w:t>
      </w:r>
      <w:r w:rsidRPr="00D608D7">
        <w:rPr>
          <w:rFonts w:ascii="Arial" w:hAnsi="Arial" w:cs="Arial"/>
          <w:sz w:val="22"/>
          <w:szCs w:val="22"/>
          <w:lang w:val="es-ES_tradnl"/>
        </w:rPr>
        <w:t xml:space="preserve">(0.22%) </w:t>
      </w:r>
      <w:r w:rsidR="009712A0" w:rsidRPr="00D608D7">
        <w:rPr>
          <w:rFonts w:ascii="Arial" w:hAnsi="Arial" w:cs="Arial"/>
          <w:sz w:val="22"/>
          <w:szCs w:val="22"/>
          <w:lang w:val="es-ES_tradnl"/>
        </w:rPr>
        <w:t xml:space="preserve">que </w:t>
      </w:r>
      <w:r w:rsidRPr="00D608D7">
        <w:rPr>
          <w:rFonts w:ascii="Arial" w:hAnsi="Arial" w:cs="Arial"/>
          <w:sz w:val="22"/>
          <w:szCs w:val="22"/>
          <w:lang w:val="es-ES_tradnl"/>
        </w:rPr>
        <w:t xml:space="preserve">corresponden a población indígena. </w:t>
      </w:r>
      <w:r w:rsidR="009712A0" w:rsidRPr="00D608D7">
        <w:rPr>
          <w:rFonts w:ascii="Arial" w:hAnsi="Arial" w:cs="Arial"/>
          <w:sz w:val="22"/>
          <w:szCs w:val="22"/>
          <w:lang w:val="es-ES_tradnl"/>
        </w:rPr>
        <w:t xml:space="preserve">De acuerdo con la encuesta multipropósito de 2011 en este año había </w:t>
      </w:r>
      <w:r w:rsidR="009712A0" w:rsidRPr="00D608D7">
        <w:rPr>
          <w:rFonts w:ascii="Arial" w:hAnsi="Arial" w:cs="Arial"/>
          <w:b/>
          <w:sz w:val="22"/>
          <w:szCs w:val="22"/>
          <w:lang w:val="es-ES_tradnl"/>
        </w:rPr>
        <w:t>69.091</w:t>
      </w:r>
      <w:r w:rsidR="00281840" w:rsidRPr="00D608D7">
        <w:rPr>
          <w:rFonts w:ascii="Arial" w:hAnsi="Arial" w:cs="Arial"/>
          <w:b/>
          <w:sz w:val="22"/>
          <w:szCs w:val="22"/>
          <w:lang w:val="es-ES_tradnl"/>
        </w:rPr>
        <w:t xml:space="preserve"> personas</w:t>
      </w:r>
      <w:r w:rsidR="009712A0" w:rsidRPr="00D608D7">
        <w:rPr>
          <w:rFonts w:ascii="Arial" w:hAnsi="Arial" w:cs="Arial"/>
          <w:b/>
          <w:sz w:val="22"/>
          <w:szCs w:val="22"/>
          <w:lang w:val="es-ES_tradnl"/>
        </w:rPr>
        <w:t xml:space="preserve"> identificadas como indígenas en Bogotá</w:t>
      </w:r>
      <w:r w:rsidR="009712A0" w:rsidRPr="00D608D7">
        <w:rPr>
          <w:rFonts w:ascii="Arial" w:hAnsi="Arial" w:cs="Arial"/>
          <w:sz w:val="22"/>
          <w:szCs w:val="22"/>
          <w:lang w:val="es-ES_tradnl"/>
        </w:rPr>
        <w:t xml:space="preserve">. </w:t>
      </w:r>
    </w:p>
    <w:p w:rsidR="009712A0" w:rsidRPr="00D608D7" w:rsidRDefault="009712A0" w:rsidP="00D608D7">
      <w:pPr>
        <w:autoSpaceDE w:val="0"/>
        <w:autoSpaceDN w:val="0"/>
        <w:adjustRightInd w:val="0"/>
        <w:jc w:val="both"/>
        <w:rPr>
          <w:rFonts w:ascii="Arial" w:hAnsi="Arial" w:cs="Arial"/>
          <w:sz w:val="22"/>
          <w:szCs w:val="22"/>
          <w:lang w:val="es-ES_tradnl"/>
        </w:rPr>
      </w:pPr>
    </w:p>
    <w:p w:rsidR="002E669A" w:rsidRPr="00D608D7" w:rsidRDefault="009712A0"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Según el estudio “Demografía, población y diversidad” (2014), el Censo 2005 mostró que para el caso de la población afrodescendiente el  </w:t>
      </w:r>
      <w:r w:rsidR="002E669A" w:rsidRPr="00D608D7">
        <w:rPr>
          <w:rFonts w:ascii="Arial" w:hAnsi="Arial" w:cs="Arial"/>
          <w:sz w:val="22"/>
          <w:szCs w:val="22"/>
          <w:lang w:val="es-ES_tradnl"/>
        </w:rPr>
        <w:t>55,8</w:t>
      </w:r>
      <w:r w:rsidRPr="00D608D7">
        <w:rPr>
          <w:rFonts w:ascii="Arial" w:hAnsi="Arial" w:cs="Arial"/>
          <w:sz w:val="22"/>
          <w:szCs w:val="22"/>
          <w:lang w:val="es-ES_tradnl"/>
        </w:rPr>
        <w:t xml:space="preserve">% de las madres no residían en Bogotá cuando la persona encuestada nació. En el caso de la encuesta multipropósito del 2011, el </w:t>
      </w:r>
      <w:r w:rsidR="002E669A" w:rsidRPr="00D608D7">
        <w:rPr>
          <w:rFonts w:ascii="Arial" w:hAnsi="Arial" w:cs="Arial"/>
          <w:sz w:val="22"/>
          <w:szCs w:val="22"/>
          <w:lang w:val="es-ES_tradnl"/>
        </w:rPr>
        <w:t>57,7</w:t>
      </w:r>
      <w:r w:rsidRPr="00D608D7">
        <w:rPr>
          <w:rFonts w:ascii="Arial" w:hAnsi="Arial" w:cs="Arial"/>
          <w:sz w:val="22"/>
          <w:szCs w:val="22"/>
          <w:lang w:val="es-ES_tradnl"/>
        </w:rPr>
        <w:t xml:space="preserve">% de la población </w:t>
      </w:r>
      <w:r w:rsidR="002E669A" w:rsidRPr="00D608D7">
        <w:rPr>
          <w:rFonts w:ascii="Arial" w:hAnsi="Arial" w:cs="Arial"/>
          <w:sz w:val="22"/>
          <w:szCs w:val="22"/>
          <w:lang w:val="es-ES_tradnl"/>
        </w:rPr>
        <w:t>indígena</w:t>
      </w:r>
      <w:r w:rsidRPr="00D608D7">
        <w:rPr>
          <w:rFonts w:ascii="Arial" w:hAnsi="Arial" w:cs="Arial"/>
          <w:sz w:val="22"/>
          <w:szCs w:val="22"/>
          <w:lang w:val="es-ES_tradnl"/>
        </w:rPr>
        <w:t xml:space="preserve"> encuestada manifiesta que sus madres no residían en Bogotá en el momento en que nacieron. Esta información puede complementarse con la distribución etaria que muestra el Censo de 2005 de la población </w:t>
      </w:r>
      <w:r w:rsidR="002E669A" w:rsidRPr="00D608D7">
        <w:rPr>
          <w:rFonts w:ascii="Arial" w:hAnsi="Arial" w:cs="Arial"/>
          <w:sz w:val="22"/>
          <w:szCs w:val="22"/>
          <w:lang w:val="es-ES_tradnl"/>
        </w:rPr>
        <w:t>indígena</w:t>
      </w:r>
      <w:r w:rsidRPr="00D608D7">
        <w:rPr>
          <w:rFonts w:ascii="Arial" w:hAnsi="Arial" w:cs="Arial"/>
          <w:sz w:val="22"/>
          <w:szCs w:val="22"/>
          <w:lang w:val="es-ES_tradnl"/>
        </w:rPr>
        <w:t xml:space="preserve"> en comparación con la población “sin pertenencia étnica”. Como puede verse en la gráfica, </w:t>
      </w:r>
      <w:r w:rsidR="002E669A" w:rsidRPr="00D608D7">
        <w:rPr>
          <w:rFonts w:ascii="Arial" w:hAnsi="Arial" w:cs="Arial"/>
          <w:sz w:val="22"/>
          <w:szCs w:val="22"/>
          <w:lang w:val="es-ES_tradnl"/>
        </w:rPr>
        <w:t>más del 60% de la población indígena tiene más de 30 años</w:t>
      </w:r>
      <w:r w:rsidRPr="00D608D7">
        <w:rPr>
          <w:rFonts w:ascii="Arial" w:hAnsi="Arial" w:cs="Arial"/>
          <w:sz w:val="22"/>
          <w:szCs w:val="22"/>
          <w:lang w:val="es-ES_tradnl"/>
        </w:rPr>
        <w:t>.</w:t>
      </w:r>
      <w:r w:rsidR="002E669A" w:rsidRPr="00D608D7">
        <w:rPr>
          <w:rFonts w:ascii="Arial" w:hAnsi="Arial" w:cs="Arial"/>
          <w:sz w:val="22"/>
          <w:szCs w:val="22"/>
          <w:lang w:val="es-ES_tradnl"/>
        </w:rPr>
        <w:t xml:space="preserve"> Esos datos, en conjunto con el aumento poblacional que muestra la comparación entre el censo 2005 y la encuesta multipropósito 2011, nos </w:t>
      </w:r>
      <w:r w:rsidR="00D608D7" w:rsidRPr="00D608D7">
        <w:rPr>
          <w:rFonts w:ascii="Arial" w:hAnsi="Arial" w:cs="Arial"/>
          <w:sz w:val="22"/>
          <w:szCs w:val="22"/>
          <w:lang w:val="es-ES_tradnl"/>
        </w:rPr>
        <w:t>muestra</w:t>
      </w:r>
      <w:r w:rsidR="002E669A" w:rsidRPr="00D608D7">
        <w:rPr>
          <w:rFonts w:ascii="Arial" w:hAnsi="Arial" w:cs="Arial"/>
          <w:sz w:val="22"/>
          <w:szCs w:val="22"/>
          <w:lang w:val="es-ES_tradnl"/>
        </w:rPr>
        <w:t xml:space="preserve"> que la población indígena de Bogotá está compuesta por migrantes en buena parte. </w:t>
      </w:r>
    </w:p>
    <w:p w:rsidR="009712A0" w:rsidRPr="00D608D7" w:rsidRDefault="009712A0"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 xml:space="preserve">  </w:t>
      </w:r>
    </w:p>
    <w:p w:rsidR="002E669A" w:rsidRPr="00D608D7" w:rsidRDefault="002E669A" w:rsidP="00D608D7">
      <w:pPr>
        <w:autoSpaceDE w:val="0"/>
        <w:autoSpaceDN w:val="0"/>
        <w:adjustRightInd w:val="0"/>
        <w:jc w:val="center"/>
        <w:rPr>
          <w:rFonts w:ascii="Arial" w:hAnsi="Arial" w:cs="Arial"/>
          <w:sz w:val="22"/>
          <w:szCs w:val="22"/>
          <w:lang w:val="es-ES_tradnl"/>
        </w:rPr>
      </w:pPr>
      <w:r w:rsidRPr="00D608D7">
        <w:rPr>
          <w:rFonts w:ascii="Arial" w:hAnsi="Arial" w:cs="Arial"/>
          <w:noProof/>
          <w:sz w:val="22"/>
          <w:szCs w:val="22"/>
          <w:lang w:eastAsia="es-CO"/>
        </w:rPr>
        <w:drawing>
          <wp:inline distT="0" distB="0" distL="0" distR="0" wp14:anchorId="2B739FCA" wp14:editId="0DC5CB13">
            <wp:extent cx="3414180" cy="2131255"/>
            <wp:effectExtent l="0" t="0" r="254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6-28 a la(s) 2.50.57 p. m..png"/>
                    <pic:cNvPicPr/>
                  </pic:nvPicPr>
                  <pic:blipFill>
                    <a:blip r:embed="rId7">
                      <a:extLst>
                        <a:ext uri="{28A0092B-C50C-407E-A947-70E740481C1C}">
                          <a14:useLocalDpi xmlns:a14="http://schemas.microsoft.com/office/drawing/2010/main" val="0"/>
                        </a:ext>
                      </a:extLst>
                    </a:blip>
                    <a:stretch>
                      <a:fillRect/>
                    </a:stretch>
                  </pic:blipFill>
                  <pic:spPr>
                    <a:xfrm>
                      <a:off x="0" y="0"/>
                      <a:ext cx="3433848" cy="2143533"/>
                    </a:xfrm>
                    <a:prstGeom prst="rect">
                      <a:avLst/>
                    </a:prstGeom>
                  </pic:spPr>
                </pic:pic>
              </a:graphicData>
            </a:graphic>
          </wp:inline>
        </w:drawing>
      </w:r>
    </w:p>
    <w:p w:rsidR="002E669A" w:rsidRPr="00D608D7" w:rsidRDefault="002E669A" w:rsidP="00D608D7">
      <w:pPr>
        <w:autoSpaceDE w:val="0"/>
        <w:autoSpaceDN w:val="0"/>
        <w:adjustRightInd w:val="0"/>
        <w:jc w:val="center"/>
        <w:rPr>
          <w:rFonts w:ascii="Arial" w:hAnsi="Arial" w:cs="Arial"/>
          <w:sz w:val="16"/>
          <w:szCs w:val="22"/>
          <w:lang w:val="es-ES_tradnl"/>
        </w:rPr>
      </w:pPr>
      <w:r w:rsidRPr="00D608D7">
        <w:rPr>
          <w:rFonts w:ascii="Arial" w:hAnsi="Arial" w:cs="Arial"/>
          <w:sz w:val="16"/>
          <w:szCs w:val="22"/>
          <w:lang w:val="es-ES_tradnl"/>
        </w:rPr>
        <w:t>Tomado de “Demografía, población y diversidad”, p. 309</w:t>
      </w:r>
    </w:p>
    <w:p w:rsidR="009712A0" w:rsidRPr="00D608D7" w:rsidRDefault="009712A0" w:rsidP="00D608D7">
      <w:pPr>
        <w:autoSpaceDE w:val="0"/>
        <w:autoSpaceDN w:val="0"/>
        <w:adjustRightInd w:val="0"/>
        <w:jc w:val="both"/>
        <w:rPr>
          <w:rFonts w:ascii="Arial" w:hAnsi="Arial" w:cs="Arial"/>
          <w:sz w:val="22"/>
          <w:szCs w:val="22"/>
          <w:lang w:val="es-ES_tradnl"/>
        </w:rPr>
      </w:pPr>
    </w:p>
    <w:p w:rsidR="000D31F4" w:rsidRPr="00D608D7" w:rsidRDefault="000D31F4"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Con respecto a la distribución de la población en el territorio, la encuesta multipropósito del 2011 muestra una mayor presencia de indígenas en los conglomerados noroccidental y sur-sur, respectivamente.</w:t>
      </w:r>
    </w:p>
    <w:p w:rsidR="000D31F4" w:rsidRPr="00D608D7" w:rsidRDefault="000D31F4" w:rsidP="00D608D7">
      <w:pPr>
        <w:autoSpaceDE w:val="0"/>
        <w:autoSpaceDN w:val="0"/>
        <w:adjustRightInd w:val="0"/>
        <w:jc w:val="both"/>
        <w:rPr>
          <w:rFonts w:ascii="Arial" w:hAnsi="Arial" w:cs="Arial"/>
          <w:sz w:val="22"/>
          <w:szCs w:val="22"/>
          <w:lang w:val="es-ES_tradnl"/>
        </w:rPr>
      </w:pPr>
    </w:p>
    <w:p w:rsidR="000D31F4" w:rsidRPr="00D608D7" w:rsidRDefault="000D31F4" w:rsidP="00D608D7">
      <w:pPr>
        <w:autoSpaceDE w:val="0"/>
        <w:autoSpaceDN w:val="0"/>
        <w:adjustRightInd w:val="0"/>
        <w:jc w:val="center"/>
        <w:rPr>
          <w:rFonts w:ascii="Arial" w:hAnsi="Arial" w:cs="Arial"/>
          <w:sz w:val="22"/>
          <w:szCs w:val="22"/>
          <w:lang w:val="es-ES_tradnl"/>
        </w:rPr>
      </w:pPr>
      <w:r w:rsidRPr="00D608D7">
        <w:rPr>
          <w:rFonts w:ascii="Arial" w:hAnsi="Arial" w:cs="Arial"/>
          <w:noProof/>
          <w:sz w:val="22"/>
          <w:szCs w:val="22"/>
          <w:lang w:eastAsia="es-CO"/>
        </w:rPr>
        <w:drawing>
          <wp:inline distT="0" distB="0" distL="0" distR="0" wp14:anchorId="32996F42" wp14:editId="434E07AD">
            <wp:extent cx="3481070" cy="1797647"/>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6-26 a la(s) 11.14.05 a. m..png"/>
                    <pic:cNvPicPr/>
                  </pic:nvPicPr>
                  <pic:blipFill>
                    <a:blip r:embed="rId8">
                      <a:extLst>
                        <a:ext uri="{28A0092B-C50C-407E-A947-70E740481C1C}">
                          <a14:useLocalDpi xmlns:a14="http://schemas.microsoft.com/office/drawing/2010/main" val="0"/>
                        </a:ext>
                      </a:extLst>
                    </a:blip>
                    <a:stretch>
                      <a:fillRect/>
                    </a:stretch>
                  </pic:blipFill>
                  <pic:spPr>
                    <a:xfrm>
                      <a:off x="0" y="0"/>
                      <a:ext cx="3558260" cy="1837508"/>
                    </a:xfrm>
                    <a:prstGeom prst="rect">
                      <a:avLst/>
                    </a:prstGeom>
                  </pic:spPr>
                </pic:pic>
              </a:graphicData>
            </a:graphic>
          </wp:inline>
        </w:drawing>
      </w:r>
    </w:p>
    <w:p w:rsidR="000D31F4" w:rsidRPr="00D608D7" w:rsidRDefault="000D31F4" w:rsidP="00D608D7">
      <w:pPr>
        <w:autoSpaceDE w:val="0"/>
        <w:autoSpaceDN w:val="0"/>
        <w:adjustRightInd w:val="0"/>
        <w:jc w:val="center"/>
        <w:rPr>
          <w:rFonts w:ascii="Arial" w:hAnsi="Arial" w:cs="Arial"/>
          <w:sz w:val="16"/>
          <w:szCs w:val="22"/>
          <w:lang w:val="es-ES_tradnl"/>
        </w:rPr>
      </w:pPr>
      <w:r w:rsidRPr="00D608D7">
        <w:rPr>
          <w:rFonts w:ascii="Arial" w:hAnsi="Arial" w:cs="Arial"/>
          <w:sz w:val="16"/>
          <w:szCs w:val="22"/>
          <w:lang w:val="es-ES_tradnl"/>
        </w:rPr>
        <w:t>Tomado de “Demografía, población y diversidad”, p. 315</w:t>
      </w:r>
    </w:p>
    <w:p w:rsidR="000D31F4" w:rsidRPr="00D608D7" w:rsidRDefault="000D31F4" w:rsidP="00D608D7">
      <w:pPr>
        <w:autoSpaceDE w:val="0"/>
        <w:autoSpaceDN w:val="0"/>
        <w:adjustRightInd w:val="0"/>
        <w:jc w:val="both"/>
        <w:rPr>
          <w:rFonts w:ascii="Arial" w:hAnsi="Arial" w:cs="Arial"/>
          <w:sz w:val="22"/>
          <w:szCs w:val="22"/>
          <w:lang w:val="es-ES_tradnl"/>
        </w:rPr>
      </w:pPr>
    </w:p>
    <w:p w:rsidR="00ED73B7" w:rsidRPr="00D608D7" w:rsidRDefault="00B91B7A" w:rsidP="00D608D7">
      <w:pPr>
        <w:autoSpaceDE w:val="0"/>
        <w:autoSpaceDN w:val="0"/>
        <w:adjustRightInd w:val="0"/>
        <w:jc w:val="both"/>
        <w:rPr>
          <w:rFonts w:ascii="Arial" w:hAnsi="Arial" w:cs="Arial"/>
          <w:sz w:val="22"/>
          <w:szCs w:val="22"/>
          <w:u w:val="single"/>
          <w:lang w:val="es-ES_tradnl"/>
        </w:rPr>
      </w:pPr>
      <w:r w:rsidRPr="00D608D7">
        <w:rPr>
          <w:rFonts w:ascii="Arial" w:hAnsi="Arial" w:cs="Arial"/>
          <w:sz w:val="22"/>
          <w:szCs w:val="22"/>
          <w:lang w:val="es-ES_tradnl"/>
        </w:rPr>
        <w:lastRenderedPageBreak/>
        <w:t>Según el estudio “</w:t>
      </w:r>
      <w:r w:rsidRPr="00D608D7">
        <w:rPr>
          <w:rFonts w:ascii="Arial" w:eastAsiaTheme="minorHAnsi" w:hAnsi="Arial" w:cs="Arial"/>
          <w:sz w:val="22"/>
          <w:szCs w:val="22"/>
          <w:lang w:eastAsia="en-US"/>
        </w:rPr>
        <w:t>La población indígena en Bogotá según el Censo 2005” de la Secretaría Distrital de Planeación</w:t>
      </w:r>
      <w:r w:rsidRPr="00D608D7">
        <w:rPr>
          <w:rStyle w:val="Refdenotaalpie"/>
          <w:rFonts w:ascii="Arial" w:eastAsiaTheme="minorHAnsi" w:hAnsi="Arial" w:cs="Arial"/>
          <w:sz w:val="22"/>
          <w:szCs w:val="22"/>
          <w:lang w:eastAsia="en-US"/>
        </w:rPr>
        <w:footnoteReference w:id="3"/>
      </w:r>
      <w:r w:rsidRPr="00D608D7">
        <w:rPr>
          <w:rFonts w:ascii="Arial" w:eastAsiaTheme="minorHAnsi" w:hAnsi="Arial" w:cs="Arial"/>
          <w:sz w:val="22"/>
          <w:szCs w:val="22"/>
          <w:lang w:eastAsia="en-US"/>
        </w:rPr>
        <w:t xml:space="preserve"> </w:t>
      </w:r>
      <w:r w:rsidR="00ED73B7" w:rsidRPr="00D608D7">
        <w:rPr>
          <w:rFonts w:ascii="Arial" w:hAnsi="Arial" w:cs="Arial"/>
          <w:sz w:val="22"/>
          <w:szCs w:val="22"/>
          <w:lang w:val="es-ES_tradnl"/>
        </w:rPr>
        <w:t xml:space="preserve">de los 90 pueblos indígenas presentes en la ciudad, solo siete de ellos concentran un poco más del 70% de las personas que se reconocieron como indígenas. Se trata de los pueblos Muisca (38%), Coyaima Natagaima (17.7%), Nasa (9%), Wayuu (3.7%), Otavaleño (3.4%), Inga (2.4%) y Embera (2.2%, agrupando en esta categoría a todas las personas que dijeron pertenecer al grupo Embera, Embera katio, Embera Chami y Embera Siapidara, solo para propósitos comparativos, ya que se trata de grupos étnicos diferentes) y un importante sector de la población indígena no se identificó con ningún pueblo (7,5%, la tercera categoría de clasificación que más indígenas agrupa después de los pueblos Muisca y Coyaima Natagaima).  Dado que, según la gerencia de etnias del IDEP, en Bogotá se encuentra el pueblo originario de los Muiscas, organizado en el cabildo Muisca de Bosa y el Cabildo Muisca de Suba, la presencia de </w:t>
      </w:r>
      <w:r w:rsidR="000A5E27" w:rsidRPr="00D608D7">
        <w:rPr>
          <w:rFonts w:ascii="Arial" w:hAnsi="Arial" w:cs="Arial"/>
          <w:sz w:val="22"/>
          <w:szCs w:val="22"/>
          <w:lang w:val="es-ES_tradnl"/>
        </w:rPr>
        <w:t xml:space="preserve">cerca del 50% de la </w:t>
      </w:r>
      <w:r w:rsidR="00ED73B7" w:rsidRPr="00D608D7">
        <w:rPr>
          <w:rFonts w:ascii="Arial" w:hAnsi="Arial" w:cs="Arial"/>
          <w:sz w:val="22"/>
          <w:szCs w:val="22"/>
          <w:lang w:val="es-ES_tradnl"/>
        </w:rPr>
        <w:t xml:space="preserve">población </w:t>
      </w:r>
      <w:r w:rsidR="000A5E27" w:rsidRPr="00D608D7">
        <w:rPr>
          <w:rFonts w:ascii="Arial" w:hAnsi="Arial" w:cs="Arial"/>
          <w:sz w:val="22"/>
          <w:szCs w:val="22"/>
          <w:lang w:val="es-ES_tradnl"/>
        </w:rPr>
        <w:t xml:space="preserve">indígena </w:t>
      </w:r>
      <w:r w:rsidR="00ED73B7" w:rsidRPr="00D608D7">
        <w:rPr>
          <w:rFonts w:ascii="Arial" w:hAnsi="Arial" w:cs="Arial"/>
          <w:sz w:val="22"/>
          <w:szCs w:val="22"/>
          <w:lang w:val="es-ES_tradnl"/>
        </w:rPr>
        <w:t xml:space="preserve">en los conglomerados </w:t>
      </w:r>
      <w:r w:rsidR="000A5E27" w:rsidRPr="00D608D7">
        <w:rPr>
          <w:rFonts w:ascii="Arial" w:hAnsi="Arial" w:cs="Arial"/>
          <w:sz w:val="22"/>
          <w:szCs w:val="22"/>
          <w:lang w:val="es-ES_tradnl"/>
        </w:rPr>
        <w:t>Noroccidental y Sur-sur puede responder a la población habitante en estos cabildos.</w:t>
      </w:r>
    </w:p>
    <w:p w:rsidR="00B91B7A" w:rsidRPr="00D608D7" w:rsidRDefault="00B91B7A" w:rsidP="00D608D7">
      <w:pPr>
        <w:autoSpaceDE w:val="0"/>
        <w:autoSpaceDN w:val="0"/>
        <w:adjustRightInd w:val="0"/>
        <w:jc w:val="both"/>
        <w:rPr>
          <w:rFonts w:ascii="Arial" w:hAnsi="Arial" w:cs="Arial"/>
          <w:sz w:val="22"/>
          <w:szCs w:val="22"/>
          <w:lang w:val="es-ES_tradnl"/>
        </w:rPr>
      </w:pPr>
    </w:p>
    <w:p w:rsidR="00BD27E9" w:rsidRPr="00D608D7" w:rsidRDefault="00AA4FAE"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Para complementar esta información sobre la distribución territorial</w:t>
      </w:r>
      <w:r w:rsidR="000A5E27" w:rsidRPr="00D608D7">
        <w:rPr>
          <w:rFonts w:ascii="Arial" w:hAnsi="Arial" w:cs="Arial"/>
          <w:sz w:val="22"/>
          <w:szCs w:val="22"/>
          <w:lang w:val="es-ES_tradnl"/>
        </w:rPr>
        <w:t>, d</w:t>
      </w:r>
      <w:r w:rsidR="009712A0" w:rsidRPr="00D608D7">
        <w:rPr>
          <w:rFonts w:ascii="Arial" w:hAnsi="Arial" w:cs="Arial"/>
          <w:sz w:val="22"/>
          <w:szCs w:val="22"/>
          <w:lang w:val="es-ES_tradnl"/>
        </w:rPr>
        <w:t xml:space="preserve">e acuerdo con la gerencia de etnias del IDPAC, </w:t>
      </w:r>
      <w:r w:rsidR="000D31F4" w:rsidRPr="00D608D7">
        <w:rPr>
          <w:rFonts w:ascii="Arial" w:hAnsi="Arial" w:cs="Arial"/>
          <w:sz w:val="22"/>
          <w:szCs w:val="22"/>
          <w:lang w:val="es-ES_tradnl"/>
        </w:rPr>
        <w:t>la</w:t>
      </w:r>
      <w:r w:rsidR="00BD27E9" w:rsidRPr="00D608D7">
        <w:rPr>
          <w:rFonts w:ascii="Arial" w:hAnsi="Arial" w:cs="Arial"/>
          <w:sz w:val="22"/>
          <w:szCs w:val="22"/>
          <w:lang w:val="es-ES_tradnl"/>
        </w:rPr>
        <w:t xml:space="preserve"> participación </w:t>
      </w:r>
      <w:r w:rsidR="000D31F4" w:rsidRPr="00D608D7">
        <w:rPr>
          <w:rFonts w:ascii="Arial" w:hAnsi="Arial" w:cs="Arial"/>
          <w:sz w:val="22"/>
          <w:szCs w:val="22"/>
          <w:lang w:val="es-ES_tradnl"/>
        </w:rPr>
        <w:t xml:space="preserve">de la población indígena con </w:t>
      </w:r>
      <w:r w:rsidR="00BD27E9" w:rsidRPr="00D608D7">
        <w:rPr>
          <w:rFonts w:ascii="Arial" w:hAnsi="Arial" w:cs="Arial"/>
          <w:sz w:val="22"/>
          <w:szCs w:val="22"/>
          <w:lang w:val="es-ES_tradnl"/>
        </w:rPr>
        <w:t xml:space="preserve">respecto a la población </w:t>
      </w:r>
      <w:r w:rsidR="000D31F4" w:rsidRPr="00D608D7">
        <w:rPr>
          <w:rFonts w:ascii="Arial" w:hAnsi="Arial" w:cs="Arial"/>
          <w:sz w:val="22"/>
          <w:szCs w:val="22"/>
          <w:lang w:val="es-ES_tradnl"/>
        </w:rPr>
        <w:t xml:space="preserve">total </w:t>
      </w:r>
      <w:r w:rsidR="00BD27E9" w:rsidRPr="00D608D7">
        <w:rPr>
          <w:rFonts w:ascii="Arial" w:hAnsi="Arial" w:cs="Arial"/>
          <w:sz w:val="22"/>
          <w:szCs w:val="22"/>
          <w:lang w:val="es-ES_tradnl"/>
        </w:rPr>
        <w:t>de cada una de las localidades es notoria en La Candelaria (1.2%), Santa Fe (0.68%), los Mártires (0.5%), seguido por Bosa y Suba con una participación de cada una de estas localidades alrededor del 0.38%.</w:t>
      </w:r>
    </w:p>
    <w:p w:rsidR="007C38F1" w:rsidRPr="00D608D7" w:rsidRDefault="007C38F1" w:rsidP="00D608D7">
      <w:pPr>
        <w:autoSpaceDE w:val="0"/>
        <w:autoSpaceDN w:val="0"/>
        <w:adjustRightInd w:val="0"/>
        <w:jc w:val="both"/>
        <w:rPr>
          <w:rFonts w:ascii="Arial" w:hAnsi="Arial" w:cs="Arial"/>
          <w:sz w:val="22"/>
          <w:szCs w:val="22"/>
          <w:lang w:val="es-ES_tradnl"/>
        </w:rPr>
      </w:pPr>
    </w:p>
    <w:p w:rsidR="00AA4FAE" w:rsidRPr="00D608D7" w:rsidRDefault="00AA4FAE" w:rsidP="00D608D7">
      <w:pPr>
        <w:autoSpaceDE w:val="0"/>
        <w:autoSpaceDN w:val="0"/>
        <w:adjustRightInd w:val="0"/>
        <w:jc w:val="both"/>
        <w:rPr>
          <w:rFonts w:ascii="Arial" w:hAnsi="Arial" w:cs="Arial"/>
          <w:sz w:val="22"/>
          <w:szCs w:val="22"/>
          <w:lang w:val="es-ES_tradnl"/>
        </w:rPr>
      </w:pPr>
      <w:r w:rsidRPr="00D608D7">
        <w:rPr>
          <w:rFonts w:ascii="Arial" w:hAnsi="Arial" w:cs="Arial"/>
          <w:sz w:val="22"/>
          <w:szCs w:val="22"/>
          <w:lang w:val="es-ES_tradnl"/>
        </w:rPr>
        <w:t>Finalmente, con respecto al sector educativo oficial, la Encuesta de Clima Escolar 2015 refiere que 1800 estudiantes se identifican como afrocolombianos. De acuerdo con las Notas técnicas en educación inclusiva, con relación a la población matriculada en el Sistema Educativo Oficial se identificaron en el año 2017 un total de 5.498 estudiantes auto reconocidos como pertenecientes a grupos étnicos.</w:t>
      </w:r>
    </w:p>
    <w:p w:rsidR="007C38F1" w:rsidRPr="00D608D7" w:rsidRDefault="007C38F1" w:rsidP="00D608D7">
      <w:pPr>
        <w:jc w:val="both"/>
        <w:rPr>
          <w:rFonts w:ascii="Arial" w:hAnsi="Arial" w:cs="Arial"/>
          <w:sz w:val="22"/>
          <w:szCs w:val="22"/>
          <w:lang w:val="es-ES_tradnl"/>
        </w:rPr>
      </w:pPr>
    </w:p>
    <w:sectPr w:rsidR="007C38F1" w:rsidRPr="00D608D7" w:rsidSect="00232D9B">
      <w:head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DD" w:rsidRDefault="00FA7EDD" w:rsidP="00B50E24">
      <w:r>
        <w:separator/>
      </w:r>
    </w:p>
  </w:endnote>
  <w:endnote w:type="continuationSeparator" w:id="0">
    <w:p w:rsidR="00FA7EDD" w:rsidRDefault="00FA7EDD" w:rsidP="00B5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DD" w:rsidRDefault="00FA7EDD" w:rsidP="00B50E24">
      <w:r>
        <w:separator/>
      </w:r>
    </w:p>
  </w:footnote>
  <w:footnote w:type="continuationSeparator" w:id="0">
    <w:p w:rsidR="00FA7EDD" w:rsidRDefault="00FA7EDD" w:rsidP="00B50E24">
      <w:r>
        <w:continuationSeparator/>
      </w:r>
    </w:p>
  </w:footnote>
  <w:footnote w:id="1">
    <w:p w:rsidR="00B50E24" w:rsidRPr="00D608D7" w:rsidRDefault="00B50E24" w:rsidP="00B50E24">
      <w:pPr>
        <w:autoSpaceDE w:val="0"/>
        <w:autoSpaceDN w:val="0"/>
        <w:adjustRightInd w:val="0"/>
        <w:rPr>
          <w:rFonts w:ascii="Arial" w:hAnsi="Arial" w:cs="Arial"/>
          <w:sz w:val="16"/>
          <w:szCs w:val="16"/>
          <w:u w:val="single"/>
          <w:lang w:val="es-ES_tradnl"/>
        </w:rPr>
      </w:pPr>
      <w:r w:rsidRPr="00B91B7A">
        <w:rPr>
          <w:rStyle w:val="Refdenotaalpie"/>
          <w:rFonts w:asciiTheme="minorHAnsi" w:hAnsiTheme="minorHAnsi" w:cstheme="minorHAnsi"/>
          <w:sz w:val="20"/>
          <w:szCs w:val="20"/>
        </w:rPr>
        <w:footnoteRef/>
      </w:r>
      <w:r w:rsidRPr="00B91B7A">
        <w:rPr>
          <w:rFonts w:asciiTheme="minorHAnsi" w:hAnsiTheme="minorHAnsi" w:cstheme="minorHAnsi"/>
          <w:sz w:val="20"/>
          <w:szCs w:val="20"/>
        </w:rPr>
        <w:t xml:space="preserve"> </w:t>
      </w:r>
      <w:hyperlink r:id="rId1" w:anchor="_ftn1" w:history="1">
        <w:r w:rsidRPr="00D608D7">
          <w:rPr>
            <w:rFonts w:ascii="Arial" w:hAnsi="Arial" w:cs="Arial"/>
            <w:sz w:val="16"/>
            <w:szCs w:val="16"/>
            <w:u w:val="single" w:color="DCA10D"/>
            <w:lang w:val="es-ES_tradnl"/>
          </w:rPr>
          <w:t>http://participacionbogota.gov.co/preguntas-y-respuestas-sobre-la-gerencia-de-etnias#_ftn1</w:t>
        </w:r>
      </w:hyperlink>
    </w:p>
    <w:p w:rsidR="00B50E24" w:rsidRPr="00D608D7" w:rsidRDefault="00B50E24" w:rsidP="006A03E1">
      <w:pPr>
        <w:autoSpaceDE w:val="0"/>
        <w:autoSpaceDN w:val="0"/>
        <w:adjustRightInd w:val="0"/>
        <w:rPr>
          <w:rFonts w:ascii="Arial" w:hAnsi="Arial" w:cs="Arial"/>
          <w:sz w:val="16"/>
          <w:szCs w:val="16"/>
          <w:lang w:val="es-ES_tradnl"/>
        </w:rPr>
      </w:pPr>
      <w:r w:rsidRPr="00D608D7">
        <w:rPr>
          <w:rFonts w:ascii="Arial" w:hAnsi="Arial" w:cs="Arial"/>
          <w:sz w:val="16"/>
          <w:szCs w:val="16"/>
          <w:lang w:val="es-ES_tradnl"/>
        </w:rPr>
        <w:t>Actualizado junio de 2017</w:t>
      </w:r>
    </w:p>
  </w:footnote>
  <w:footnote w:id="2">
    <w:p w:rsidR="006A03E1" w:rsidRPr="00B91B7A" w:rsidRDefault="006A03E1" w:rsidP="00D608D7">
      <w:pPr>
        <w:autoSpaceDE w:val="0"/>
        <w:autoSpaceDN w:val="0"/>
        <w:adjustRightInd w:val="0"/>
        <w:rPr>
          <w:rFonts w:cstheme="minorHAnsi"/>
          <w:lang w:val="es-ES_tradnl"/>
        </w:rPr>
      </w:pPr>
      <w:r w:rsidRPr="00D608D7">
        <w:rPr>
          <w:rStyle w:val="Refdenotaalpie"/>
          <w:rFonts w:ascii="Arial" w:hAnsi="Arial" w:cs="Arial"/>
          <w:sz w:val="16"/>
          <w:szCs w:val="16"/>
        </w:rPr>
        <w:footnoteRef/>
      </w:r>
      <w:r w:rsidRPr="00D608D7">
        <w:rPr>
          <w:rFonts w:ascii="Arial" w:hAnsi="Arial" w:cs="Arial"/>
          <w:sz w:val="16"/>
          <w:szCs w:val="16"/>
        </w:rPr>
        <w:t xml:space="preserve"> </w:t>
      </w:r>
      <w:hyperlink r:id="rId2" w:history="1">
        <w:r w:rsidRPr="00D608D7">
          <w:rPr>
            <w:rFonts w:ascii="Arial" w:hAnsi="Arial" w:cs="Arial"/>
            <w:sz w:val="16"/>
            <w:szCs w:val="16"/>
            <w:u w:val="single" w:color="DCA10D"/>
            <w:lang w:val="es-ES_tradnl"/>
          </w:rPr>
          <w:t>http://www.sdp.gov.co/node/6185</w:t>
        </w:r>
      </w:hyperlink>
    </w:p>
  </w:footnote>
  <w:footnote w:id="3">
    <w:p w:rsidR="00B91B7A" w:rsidRPr="00B91B7A" w:rsidRDefault="00B91B7A" w:rsidP="00D608D7">
      <w:pPr>
        <w:autoSpaceDE w:val="0"/>
        <w:autoSpaceDN w:val="0"/>
        <w:adjustRightInd w:val="0"/>
        <w:rPr>
          <w:rFonts w:cstheme="minorHAnsi"/>
          <w:lang w:val="es-ES_tradnl"/>
        </w:rPr>
      </w:pPr>
      <w:r w:rsidRPr="00D608D7">
        <w:rPr>
          <w:rStyle w:val="Refdenotaalpie"/>
          <w:rFonts w:ascii="Arial" w:hAnsi="Arial" w:cs="Arial"/>
          <w:sz w:val="16"/>
          <w:szCs w:val="20"/>
        </w:rPr>
        <w:footnoteRef/>
      </w:r>
      <w:r w:rsidRPr="00D608D7">
        <w:rPr>
          <w:rFonts w:ascii="Arial" w:hAnsi="Arial" w:cs="Arial"/>
          <w:sz w:val="16"/>
          <w:szCs w:val="20"/>
        </w:rPr>
        <w:t xml:space="preserve"> </w:t>
      </w:r>
      <w:hyperlink r:id="rId3" w:history="1">
        <w:r w:rsidRPr="00D608D7">
          <w:rPr>
            <w:rFonts w:ascii="Arial" w:hAnsi="Arial" w:cs="Arial"/>
            <w:sz w:val="16"/>
            <w:szCs w:val="20"/>
            <w:u w:val="single" w:color="DCA10D"/>
            <w:lang w:val="es-ES_tradnl"/>
          </w:rPr>
          <w:t>http://www.sdp.gov.co/sites/default/files/info_indi_censo_2005.pdf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45"/>
      <w:gridCol w:w="1701"/>
    </w:tblGrid>
    <w:tr w:rsidR="007247AA" w:rsidRPr="00380FCE" w:rsidTr="00D608D7">
      <w:trPr>
        <w:trHeight w:val="1551"/>
      </w:trPr>
      <w:tc>
        <w:tcPr>
          <w:tcW w:w="1980" w:type="dxa"/>
          <w:shd w:val="clear" w:color="auto" w:fill="auto"/>
        </w:tcPr>
        <w:p w:rsidR="007247AA" w:rsidRPr="0010512D" w:rsidRDefault="007247AA" w:rsidP="007247AA">
          <w:pPr>
            <w:pStyle w:val="Encabezado"/>
            <w:rPr>
              <w:rFonts w:ascii="Arial" w:hAnsi="Arial"/>
            </w:rPr>
          </w:pPr>
          <w:r>
            <w:rPr>
              <w:noProof/>
            </w:rPr>
            <w:drawing>
              <wp:anchor distT="0" distB="0" distL="114300" distR="114300" simplePos="0" relativeHeight="251659264" behindDoc="0" locked="0" layoutInCell="1" allowOverlap="1" wp14:anchorId="5C2F4ACA" wp14:editId="1D55002D">
                <wp:simplePos x="0" y="0"/>
                <wp:positionH relativeFrom="column">
                  <wp:posOffset>40005</wp:posOffset>
                </wp:positionH>
                <wp:positionV relativeFrom="paragraph">
                  <wp:posOffset>135890</wp:posOffset>
                </wp:positionV>
                <wp:extent cx="1097280" cy="805180"/>
                <wp:effectExtent l="0" t="0" r="7620" b="0"/>
                <wp:wrapSquare wrapText="bothSides"/>
                <wp:docPr id="46" name="Imagen 46"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vAlign w:val="center"/>
        </w:tcPr>
        <w:p w:rsidR="007247AA" w:rsidRPr="00B50816" w:rsidRDefault="007247AA" w:rsidP="00D608D7">
          <w:pPr>
            <w:spacing w:line="259" w:lineRule="auto"/>
            <w:jc w:val="center"/>
            <w:rPr>
              <w:b/>
              <w:lang w:val="es-MX"/>
            </w:rPr>
          </w:pPr>
          <w:r w:rsidRPr="007247AA">
            <w:rPr>
              <w:rFonts w:ascii="Arial" w:hAnsi="Arial" w:cs="Arial"/>
              <w:b/>
              <w:sz w:val="22"/>
              <w:lang w:val="es-ES"/>
            </w:rPr>
            <w:t>DOCUMENTO</w:t>
          </w:r>
          <w:r w:rsidR="00D608D7">
            <w:rPr>
              <w:rFonts w:ascii="Arial" w:hAnsi="Arial" w:cs="Arial"/>
              <w:b/>
              <w:sz w:val="22"/>
              <w:lang w:val="es-ES"/>
            </w:rPr>
            <w:t xml:space="preserve"> </w:t>
          </w:r>
          <w:r w:rsidR="00D608D7" w:rsidRPr="007247AA">
            <w:rPr>
              <w:rFonts w:ascii="Arial" w:hAnsi="Arial" w:cs="Arial"/>
              <w:b/>
              <w:sz w:val="22"/>
              <w:lang w:val="es-ES"/>
            </w:rPr>
            <w:t>GRUPOS ÉTNICOS EN EL TERRITORIO</w:t>
          </w:r>
          <w:r w:rsidRPr="007247AA">
            <w:rPr>
              <w:rFonts w:ascii="Arial" w:hAnsi="Arial" w:cs="Arial"/>
              <w:b/>
              <w:sz w:val="22"/>
              <w:lang w:val="es-ES"/>
            </w:rPr>
            <w:t xml:space="preserve"> </w:t>
          </w:r>
        </w:p>
      </w:tc>
      <w:tc>
        <w:tcPr>
          <w:tcW w:w="1701" w:type="dxa"/>
          <w:shd w:val="clear" w:color="auto" w:fill="auto"/>
          <w:vAlign w:val="center"/>
        </w:tcPr>
        <w:sdt>
          <w:sdtPr>
            <w:rPr>
              <w:rFonts w:ascii="Arial" w:hAnsi="Arial" w:cs="Arial"/>
              <w:sz w:val="22"/>
            </w:rPr>
            <w:id w:val="216750253"/>
            <w:docPartObj>
              <w:docPartGallery w:val="Page Numbers (Top of Page)"/>
              <w:docPartUnique/>
            </w:docPartObj>
          </w:sdtPr>
          <w:sdtContent>
            <w:p w:rsidR="007247AA" w:rsidRPr="007247AA" w:rsidRDefault="007247AA" w:rsidP="007247AA">
              <w:pPr>
                <w:pStyle w:val="Encabezado"/>
                <w:rPr>
                  <w:rFonts w:ascii="Arial" w:hAnsi="Arial" w:cs="Arial"/>
                  <w:sz w:val="22"/>
                </w:rPr>
              </w:pPr>
              <w:r w:rsidRPr="007247AA">
                <w:rPr>
                  <w:rFonts w:ascii="Arial" w:hAnsi="Arial" w:cs="Arial"/>
                  <w:b/>
                  <w:sz w:val="22"/>
                </w:rPr>
                <w:t xml:space="preserve">Página </w:t>
              </w:r>
              <w:r w:rsidRPr="007247AA">
                <w:rPr>
                  <w:rFonts w:ascii="Arial" w:hAnsi="Arial" w:cs="Arial"/>
                  <w:b/>
                  <w:sz w:val="22"/>
                </w:rPr>
                <w:fldChar w:fldCharType="begin"/>
              </w:r>
              <w:r w:rsidRPr="007247AA">
                <w:rPr>
                  <w:rFonts w:ascii="Arial" w:hAnsi="Arial" w:cs="Arial"/>
                  <w:b/>
                  <w:sz w:val="22"/>
                </w:rPr>
                <w:instrText>PAGE</w:instrText>
              </w:r>
              <w:r w:rsidRPr="007247AA">
                <w:rPr>
                  <w:rFonts w:ascii="Arial" w:hAnsi="Arial" w:cs="Arial"/>
                  <w:b/>
                  <w:sz w:val="22"/>
                </w:rPr>
                <w:fldChar w:fldCharType="separate"/>
              </w:r>
              <w:r w:rsidR="00EA37B3">
                <w:rPr>
                  <w:rFonts w:ascii="Arial" w:hAnsi="Arial" w:cs="Arial"/>
                  <w:b/>
                  <w:noProof/>
                  <w:sz w:val="22"/>
                </w:rPr>
                <w:t>1</w:t>
              </w:r>
              <w:r w:rsidRPr="007247AA">
                <w:rPr>
                  <w:rFonts w:ascii="Arial" w:hAnsi="Arial" w:cs="Arial"/>
                  <w:b/>
                  <w:sz w:val="22"/>
                </w:rPr>
                <w:fldChar w:fldCharType="end"/>
              </w:r>
              <w:r w:rsidRPr="007247AA">
                <w:rPr>
                  <w:rFonts w:ascii="Arial" w:hAnsi="Arial" w:cs="Arial"/>
                  <w:b/>
                  <w:sz w:val="22"/>
                </w:rPr>
                <w:t xml:space="preserve"> de </w:t>
              </w:r>
              <w:r w:rsidRPr="007247AA">
                <w:rPr>
                  <w:rFonts w:ascii="Arial" w:hAnsi="Arial" w:cs="Arial"/>
                  <w:b/>
                  <w:sz w:val="22"/>
                </w:rPr>
                <w:fldChar w:fldCharType="begin"/>
              </w:r>
              <w:r w:rsidRPr="007247AA">
                <w:rPr>
                  <w:rFonts w:ascii="Arial" w:hAnsi="Arial" w:cs="Arial"/>
                  <w:b/>
                  <w:sz w:val="22"/>
                </w:rPr>
                <w:instrText>NUMPAGES</w:instrText>
              </w:r>
              <w:r w:rsidRPr="007247AA">
                <w:rPr>
                  <w:rFonts w:ascii="Arial" w:hAnsi="Arial" w:cs="Arial"/>
                  <w:b/>
                  <w:sz w:val="22"/>
                </w:rPr>
                <w:fldChar w:fldCharType="separate"/>
              </w:r>
              <w:r w:rsidR="00EA37B3">
                <w:rPr>
                  <w:rFonts w:ascii="Arial" w:hAnsi="Arial" w:cs="Arial"/>
                  <w:b/>
                  <w:noProof/>
                  <w:sz w:val="22"/>
                </w:rPr>
                <w:t>6</w:t>
              </w:r>
              <w:r w:rsidRPr="007247AA">
                <w:rPr>
                  <w:rFonts w:ascii="Arial" w:hAnsi="Arial" w:cs="Arial"/>
                  <w:b/>
                  <w:sz w:val="22"/>
                </w:rPr>
                <w:fldChar w:fldCharType="end"/>
              </w:r>
            </w:p>
          </w:sdtContent>
        </w:sdt>
      </w:tc>
    </w:tr>
  </w:tbl>
  <w:p w:rsidR="007247AA" w:rsidRDefault="007247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E27DF8"/>
    <w:multiLevelType w:val="hybridMultilevel"/>
    <w:tmpl w:val="80968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1"/>
    <w:rsid w:val="00090771"/>
    <w:rsid w:val="000A5E27"/>
    <w:rsid w:val="000D31F4"/>
    <w:rsid w:val="001E4C92"/>
    <w:rsid w:val="00236CF4"/>
    <w:rsid w:val="00281840"/>
    <w:rsid w:val="002E669A"/>
    <w:rsid w:val="00370BDF"/>
    <w:rsid w:val="00485603"/>
    <w:rsid w:val="00552EE4"/>
    <w:rsid w:val="005A022C"/>
    <w:rsid w:val="005E2B12"/>
    <w:rsid w:val="00636A4A"/>
    <w:rsid w:val="00687808"/>
    <w:rsid w:val="006A03E1"/>
    <w:rsid w:val="007247AA"/>
    <w:rsid w:val="007C38F1"/>
    <w:rsid w:val="007C39D5"/>
    <w:rsid w:val="00897F06"/>
    <w:rsid w:val="008B601E"/>
    <w:rsid w:val="008F3C94"/>
    <w:rsid w:val="00924780"/>
    <w:rsid w:val="009712A0"/>
    <w:rsid w:val="00985FEB"/>
    <w:rsid w:val="009E55CD"/>
    <w:rsid w:val="009F5DA4"/>
    <w:rsid w:val="00AA4FAE"/>
    <w:rsid w:val="00B27261"/>
    <w:rsid w:val="00B50E24"/>
    <w:rsid w:val="00B91B7A"/>
    <w:rsid w:val="00BD27E9"/>
    <w:rsid w:val="00C353E2"/>
    <w:rsid w:val="00D608D7"/>
    <w:rsid w:val="00DC4996"/>
    <w:rsid w:val="00DD5AAD"/>
    <w:rsid w:val="00EA37B3"/>
    <w:rsid w:val="00ED73B7"/>
    <w:rsid w:val="00F5638E"/>
    <w:rsid w:val="00FA7EDD"/>
    <w:rsid w:val="00FC1EC3"/>
    <w:rsid w:val="00FF7C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CC427-B8F7-8347-9B9C-AC86D762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7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0E2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50E24"/>
    <w:rPr>
      <w:sz w:val="20"/>
      <w:szCs w:val="20"/>
    </w:rPr>
  </w:style>
  <w:style w:type="character" w:styleId="Refdenotaalpie">
    <w:name w:val="footnote reference"/>
    <w:basedOn w:val="Fuentedeprrafopredeter"/>
    <w:uiPriority w:val="99"/>
    <w:semiHidden/>
    <w:unhideWhenUsed/>
    <w:rsid w:val="00B50E24"/>
    <w:rPr>
      <w:vertAlign w:val="superscript"/>
    </w:rPr>
  </w:style>
  <w:style w:type="paragraph" w:styleId="NormalWeb">
    <w:name w:val="Normal (Web)"/>
    <w:basedOn w:val="Normal"/>
    <w:uiPriority w:val="99"/>
    <w:unhideWhenUsed/>
    <w:rsid w:val="00552EE4"/>
    <w:pPr>
      <w:spacing w:before="100" w:beforeAutospacing="1" w:after="100" w:afterAutospacing="1"/>
    </w:pPr>
  </w:style>
  <w:style w:type="paragraph" w:styleId="Encabezado">
    <w:name w:val="header"/>
    <w:basedOn w:val="Normal"/>
    <w:link w:val="EncabezadoCar"/>
    <w:unhideWhenUsed/>
    <w:rsid w:val="007247AA"/>
    <w:pPr>
      <w:tabs>
        <w:tab w:val="center" w:pos="4419"/>
        <w:tab w:val="right" w:pos="8838"/>
      </w:tabs>
    </w:pPr>
  </w:style>
  <w:style w:type="character" w:customStyle="1" w:styleId="EncabezadoCar">
    <w:name w:val="Encabezado Car"/>
    <w:basedOn w:val="Fuentedeprrafopredeter"/>
    <w:link w:val="Encabezado"/>
    <w:rsid w:val="007247AA"/>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7247AA"/>
    <w:pPr>
      <w:tabs>
        <w:tab w:val="center" w:pos="4419"/>
        <w:tab w:val="right" w:pos="8838"/>
      </w:tabs>
    </w:pPr>
  </w:style>
  <w:style w:type="character" w:customStyle="1" w:styleId="PiedepginaCar">
    <w:name w:val="Pie de página Car"/>
    <w:basedOn w:val="Fuentedeprrafopredeter"/>
    <w:link w:val="Piedepgina"/>
    <w:uiPriority w:val="99"/>
    <w:rsid w:val="007247AA"/>
    <w:rPr>
      <w:rFonts w:ascii="Times New Roman" w:eastAsia="Times New Roman" w:hAnsi="Times New Roman" w:cs="Times New Roman"/>
      <w:lang w:eastAsia="es-ES_tradnl"/>
    </w:rPr>
  </w:style>
  <w:style w:type="table" w:styleId="Tablaconcuadrcula">
    <w:name w:val="Table Grid"/>
    <w:basedOn w:val="Tablanormal"/>
    <w:uiPriority w:val="39"/>
    <w:rsid w:val="007247A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6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9091">
      <w:bodyDiv w:val="1"/>
      <w:marLeft w:val="0"/>
      <w:marRight w:val="0"/>
      <w:marTop w:val="0"/>
      <w:marBottom w:val="0"/>
      <w:divBdr>
        <w:top w:val="none" w:sz="0" w:space="0" w:color="auto"/>
        <w:left w:val="none" w:sz="0" w:space="0" w:color="auto"/>
        <w:bottom w:val="none" w:sz="0" w:space="0" w:color="auto"/>
        <w:right w:val="none" w:sz="0" w:space="0" w:color="auto"/>
      </w:divBdr>
      <w:divsChild>
        <w:div w:id="1454521339">
          <w:marLeft w:val="0"/>
          <w:marRight w:val="0"/>
          <w:marTop w:val="0"/>
          <w:marBottom w:val="0"/>
          <w:divBdr>
            <w:top w:val="none" w:sz="0" w:space="0" w:color="auto"/>
            <w:left w:val="none" w:sz="0" w:space="0" w:color="auto"/>
            <w:bottom w:val="none" w:sz="0" w:space="0" w:color="auto"/>
            <w:right w:val="none" w:sz="0" w:space="0" w:color="auto"/>
          </w:divBdr>
          <w:divsChild>
            <w:div w:id="1136022946">
              <w:marLeft w:val="0"/>
              <w:marRight w:val="0"/>
              <w:marTop w:val="0"/>
              <w:marBottom w:val="0"/>
              <w:divBdr>
                <w:top w:val="none" w:sz="0" w:space="0" w:color="auto"/>
                <w:left w:val="none" w:sz="0" w:space="0" w:color="auto"/>
                <w:bottom w:val="none" w:sz="0" w:space="0" w:color="auto"/>
                <w:right w:val="none" w:sz="0" w:space="0" w:color="auto"/>
              </w:divBdr>
              <w:divsChild>
                <w:div w:id="91632458">
                  <w:marLeft w:val="0"/>
                  <w:marRight w:val="0"/>
                  <w:marTop w:val="0"/>
                  <w:marBottom w:val="0"/>
                  <w:divBdr>
                    <w:top w:val="none" w:sz="0" w:space="0" w:color="auto"/>
                    <w:left w:val="none" w:sz="0" w:space="0" w:color="auto"/>
                    <w:bottom w:val="none" w:sz="0" w:space="0" w:color="auto"/>
                    <w:right w:val="none" w:sz="0" w:space="0" w:color="auto"/>
                  </w:divBdr>
                  <w:divsChild>
                    <w:div w:id="1888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96539">
      <w:bodyDiv w:val="1"/>
      <w:marLeft w:val="0"/>
      <w:marRight w:val="0"/>
      <w:marTop w:val="0"/>
      <w:marBottom w:val="0"/>
      <w:divBdr>
        <w:top w:val="none" w:sz="0" w:space="0" w:color="auto"/>
        <w:left w:val="none" w:sz="0" w:space="0" w:color="auto"/>
        <w:bottom w:val="none" w:sz="0" w:space="0" w:color="auto"/>
        <w:right w:val="none" w:sz="0" w:space="0" w:color="auto"/>
      </w:divBdr>
    </w:div>
    <w:div w:id="849173616">
      <w:bodyDiv w:val="1"/>
      <w:marLeft w:val="0"/>
      <w:marRight w:val="0"/>
      <w:marTop w:val="0"/>
      <w:marBottom w:val="0"/>
      <w:divBdr>
        <w:top w:val="none" w:sz="0" w:space="0" w:color="auto"/>
        <w:left w:val="none" w:sz="0" w:space="0" w:color="auto"/>
        <w:bottom w:val="none" w:sz="0" w:space="0" w:color="auto"/>
        <w:right w:val="none" w:sz="0" w:space="0" w:color="auto"/>
      </w:divBdr>
      <w:divsChild>
        <w:div w:id="488519091">
          <w:marLeft w:val="0"/>
          <w:marRight w:val="0"/>
          <w:marTop w:val="0"/>
          <w:marBottom w:val="0"/>
          <w:divBdr>
            <w:top w:val="none" w:sz="0" w:space="0" w:color="auto"/>
            <w:left w:val="none" w:sz="0" w:space="0" w:color="auto"/>
            <w:bottom w:val="none" w:sz="0" w:space="0" w:color="auto"/>
            <w:right w:val="none" w:sz="0" w:space="0" w:color="auto"/>
          </w:divBdr>
          <w:divsChild>
            <w:div w:id="1296136878">
              <w:marLeft w:val="0"/>
              <w:marRight w:val="0"/>
              <w:marTop w:val="0"/>
              <w:marBottom w:val="0"/>
              <w:divBdr>
                <w:top w:val="none" w:sz="0" w:space="0" w:color="auto"/>
                <w:left w:val="none" w:sz="0" w:space="0" w:color="auto"/>
                <w:bottom w:val="none" w:sz="0" w:space="0" w:color="auto"/>
                <w:right w:val="none" w:sz="0" w:space="0" w:color="auto"/>
              </w:divBdr>
              <w:divsChild>
                <w:div w:id="88428752">
                  <w:marLeft w:val="0"/>
                  <w:marRight w:val="0"/>
                  <w:marTop w:val="0"/>
                  <w:marBottom w:val="0"/>
                  <w:divBdr>
                    <w:top w:val="none" w:sz="0" w:space="0" w:color="auto"/>
                    <w:left w:val="none" w:sz="0" w:space="0" w:color="auto"/>
                    <w:bottom w:val="none" w:sz="0" w:space="0" w:color="auto"/>
                    <w:right w:val="none" w:sz="0" w:space="0" w:color="auto"/>
                  </w:divBdr>
                  <w:divsChild>
                    <w:div w:id="614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38398">
      <w:bodyDiv w:val="1"/>
      <w:marLeft w:val="0"/>
      <w:marRight w:val="0"/>
      <w:marTop w:val="0"/>
      <w:marBottom w:val="0"/>
      <w:divBdr>
        <w:top w:val="none" w:sz="0" w:space="0" w:color="auto"/>
        <w:left w:val="none" w:sz="0" w:space="0" w:color="auto"/>
        <w:bottom w:val="none" w:sz="0" w:space="0" w:color="auto"/>
        <w:right w:val="none" w:sz="0" w:space="0" w:color="auto"/>
      </w:divBdr>
      <w:divsChild>
        <w:div w:id="50690179">
          <w:marLeft w:val="0"/>
          <w:marRight w:val="0"/>
          <w:marTop w:val="0"/>
          <w:marBottom w:val="0"/>
          <w:divBdr>
            <w:top w:val="none" w:sz="0" w:space="0" w:color="auto"/>
            <w:left w:val="none" w:sz="0" w:space="0" w:color="auto"/>
            <w:bottom w:val="none" w:sz="0" w:space="0" w:color="auto"/>
            <w:right w:val="none" w:sz="0" w:space="0" w:color="auto"/>
          </w:divBdr>
          <w:divsChild>
            <w:div w:id="64106102">
              <w:marLeft w:val="0"/>
              <w:marRight w:val="0"/>
              <w:marTop w:val="0"/>
              <w:marBottom w:val="0"/>
              <w:divBdr>
                <w:top w:val="none" w:sz="0" w:space="0" w:color="auto"/>
                <w:left w:val="none" w:sz="0" w:space="0" w:color="auto"/>
                <w:bottom w:val="none" w:sz="0" w:space="0" w:color="auto"/>
                <w:right w:val="none" w:sz="0" w:space="0" w:color="auto"/>
              </w:divBdr>
              <w:divsChild>
                <w:div w:id="592905994">
                  <w:marLeft w:val="0"/>
                  <w:marRight w:val="0"/>
                  <w:marTop w:val="0"/>
                  <w:marBottom w:val="0"/>
                  <w:divBdr>
                    <w:top w:val="none" w:sz="0" w:space="0" w:color="auto"/>
                    <w:left w:val="none" w:sz="0" w:space="0" w:color="auto"/>
                    <w:bottom w:val="none" w:sz="0" w:space="0" w:color="auto"/>
                    <w:right w:val="none" w:sz="0" w:space="0" w:color="auto"/>
                  </w:divBdr>
                  <w:divsChild>
                    <w:div w:id="340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dp.gov.co/sites/default/files/info_indi_censo_2005.pdf" TargetMode="External"/><Relationship Id="rId2" Type="http://schemas.openxmlformats.org/officeDocument/2006/relationships/hyperlink" Target="http://www.sdp.gov.co/node/6185" TargetMode="External"/><Relationship Id="rId1" Type="http://schemas.openxmlformats.org/officeDocument/2006/relationships/hyperlink" Target="http://participacionbogota.gov.co/preguntas-y-respuestas-sobre-la-gerencia-de-etn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Bernal Escobar</dc:creator>
  <cp:keywords/>
  <dc:description/>
  <cp:lastModifiedBy>Diana Carolina Martínez Rodríguez</cp:lastModifiedBy>
  <cp:revision>2</cp:revision>
  <dcterms:created xsi:type="dcterms:W3CDTF">2019-10-10T20:23:00Z</dcterms:created>
  <dcterms:modified xsi:type="dcterms:W3CDTF">2019-10-10T20:23:00Z</dcterms:modified>
</cp:coreProperties>
</file>