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3CE66" w14:textId="77777777" w:rsidR="00327289" w:rsidRDefault="00327289" w:rsidP="00B74CA5">
      <w:pPr>
        <w:pStyle w:val="Ttulo1"/>
      </w:pPr>
      <w:bookmarkStart w:id="0" w:name="_GoBack"/>
      <w:bookmarkEnd w:id="0"/>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353"/>
        <w:gridCol w:w="3261"/>
      </w:tblGrid>
      <w:tr w:rsidR="00327289" w14:paraId="3622EF2B" w14:textId="77777777">
        <w:tc>
          <w:tcPr>
            <w:tcW w:w="9606" w:type="dxa"/>
            <w:gridSpan w:val="3"/>
          </w:tcPr>
          <w:p w14:paraId="22F1ED22" w14:textId="77777777" w:rsidR="00327289" w:rsidRDefault="006227DC">
            <w:pPr>
              <w:jc w:val="center"/>
              <w:rPr>
                <w:rFonts w:ascii="Arial" w:eastAsia="Arial" w:hAnsi="Arial" w:cs="Arial"/>
                <w:b/>
                <w:sz w:val="18"/>
                <w:szCs w:val="18"/>
              </w:rPr>
            </w:pPr>
            <w:r>
              <w:rPr>
                <w:rFonts w:ascii="Arial" w:eastAsia="Arial" w:hAnsi="Arial" w:cs="Arial"/>
                <w:b/>
                <w:sz w:val="18"/>
                <w:szCs w:val="18"/>
              </w:rPr>
              <w:t>Firma de autorizaciones</w:t>
            </w:r>
          </w:p>
        </w:tc>
      </w:tr>
      <w:tr w:rsidR="00327289" w14:paraId="54196491" w14:textId="77777777">
        <w:tc>
          <w:tcPr>
            <w:tcW w:w="2992" w:type="dxa"/>
          </w:tcPr>
          <w:p w14:paraId="753E18D6" w14:textId="77777777" w:rsidR="00327289" w:rsidRDefault="006227DC">
            <w:pPr>
              <w:jc w:val="center"/>
              <w:rPr>
                <w:rFonts w:ascii="Arial" w:eastAsia="Arial" w:hAnsi="Arial" w:cs="Arial"/>
                <w:b/>
                <w:sz w:val="18"/>
                <w:szCs w:val="18"/>
              </w:rPr>
            </w:pPr>
            <w:r>
              <w:rPr>
                <w:rFonts w:ascii="Arial" w:eastAsia="Arial" w:hAnsi="Arial" w:cs="Arial"/>
                <w:b/>
                <w:sz w:val="18"/>
                <w:szCs w:val="18"/>
              </w:rPr>
              <w:t>Elaboró</w:t>
            </w:r>
          </w:p>
        </w:tc>
        <w:tc>
          <w:tcPr>
            <w:tcW w:w="3353" w:type="dxa"/>
          </w:tcPr>
          <w:p w14:paraId="6A4BD03C" w14:textId="77777777" w:rsidR="00327289" w:rsidRDefault="006227DC">
            <w:pPr>
              <w:jc w:val="center"/>
              <w:rPr>
                <w:rFonts w:ascii="Arial" w:eastAsia="Arial" w:hAnsi="Arial" w:cs="Arial"/>
                <w:b/>
                <w:sz w:val="18"/>
                <w:szCs w:val="18"/>
              </w:rPr>
            </w:pPr>
            <w:r>
              <w:rPr>
                <w:rFonts w:ascii="Arial" w:eastAsia="Arial" w:hAnsi="Arial" w:cs="Arial"/>
                <w:b/>
                <w:sz w:val="18"/>
                <w:szCs w:val="18"/>
              </w:rPr>
              <w:t>Revisó</w:t>
            </w:r>
          </w:p>
        </w:tc>
        <w:tc>
          <w:tcPr>
            <w:tcW w:w="3261" w:type="dxa"/>
          </w:tcPr>
          <w:p w14:paraId="79808FCB" w14:textId="77777777" w:rsidR="00327289" w:rsidRDefault="006227DC">
            <w:pPr>
              <w:jc w:val="center"/>
              <w:rPr>
                <w:rFonts w:ascii="Arial" w:eastAsia="Arial" w:hAnsi="Arial" w:cs="Arial"/>
                <w:b/>
                <w:sz w:val="18"/>
                <w:szCs w:val="18"/>
              </w:rPr>
            </w:pPr>
            <w:r>
              <w:rPr>
                <w:rFonts w:ascii="Arial" w:eastAsia="Arial" w:hAnsi="Arial" w:cs="Arial"/>
                <w:b/>
                <w:sz w:val="18"/>
                <w:szCs w:val="18"/>
              </w:rPr>
              <w:t>Aprobó</w:t>
            </w:r>
          </w:p>
        </w:tc>
      </w:tr>
      <w:tr w:rsidR="00327289" w14:paraId="0C7199AC" w14:textId="77777777">
        <w:tc>
          <w:tcPr>
            <w:tcW w:w="2992" w:type="dxa"/>
          </w:tcPr>
          <w:p w14:paraId="6D33F866" w14:textId="77777777" w:rsidR="00327289" w:rsidRDefault="006227DC">
            <w:pPr>
              <w:tabs>
                <w:tab w:val="left" w:pos="2310"/>
              </w:tabs>
              <w:jc w:val="center"/>
              <w:rPr>
                <w:rFonts w:ascii="Arial" w:eastAsia="Arial" w:hAnsi="Arial" w:cs="Arial"/>
                <w:sz w:val="20"/>
                <w:szCs w:val="20"/>
              </w:rPr>
            </w:pPr>
            <w:r>
              <w:rPr>
                <w:rFonts w:ascii="Arial" w:eastAsia="Arial" w:hAnsi="Arial" w:cs="Arial"/>
                <w:sz w:val="20"/>
                <w:szCs w:val="20"/>
              </w:rPr>
              <w:t>Profesional Contratista Subdirección Académica</w:t>
            </w:r>
          </w:p>
          <w:p w14:paraId="7DCD4634" w14:textId="77777777" w:rsidR="00327289" w:rsidRDefault="006227DC">
            <w:pPr>
              <w:jc w:val="center"/>
              <w:rPr>
                <w:rFonts w:ascii="Arial" w:eastAsia="Arial" w:hAnsi="Arial" w:cs="Arial"/>
                <w:sz w:val="18"/>
                <w:szCs w:val="18"/>
              </w:rPr>
            </w:pPr>
            <w:r>
              <w:rPr>
                <w:rFonts w:ascii="Arial" w:eastAsia="Arial" w:hAnsi="Arial" w:cs="Arial"/>
                <w:sz w:val="20"/>
                <w:szCs w:val="20"/>
              </w:rPr>
              <w:t>Profesional Contratista Oficina Asesora de Planeación</w:t>
            </w:r>
          </w:p>
        </w:tc>
        <w:tc>
          <w:tcPr>
            <w:tcW w:w="3353" w:type="dxa"/>
            <w:vAlign w:val="center"/>
          </w:tcPr>
          <w:p w14:paraId="470B417C" w14:textId="77777777" w:rsidR="00327289" w:rsidRDefault="006227DC">
            <w:pPr>
              <w:jc w:val="center"/>
              <w:rPr>
                <w:rFonts w:ascii="Arial" w:eastAsia="Arial" w:hAnsi="Arial" w:cs="Arial"/>
                <w:sz w:val="18"/>
                <w:szCs w:val="18"/>
              </w:rPr>
            </w:pPr>
            <w:r>
              <w:rPr>
                <w:rFonts w:ascii="Arial" w:eastAsia="Arial" w:hAnsi="Arial" w:cs="Arial"/>
                <w:sz w:val="18"/>
                <w:szCs w:val="18"/>
              </w:rPr>
              <w:t>Asesor Dirección General 105-03</w:t>
            </w:r>
          </w:p>
        </w:tc>
        <w:tc>
          <w:tcPr>
            <w:tcW w:w="3261" w:type="dxa"/>
            <w:vAlign w:val="center"/>
          </w:tcPr>
          <w:p w14:paraId="15DC10FC" w14:textId="77777777" w:rsidR="00327289" w:rsidRDefault="006227DC">
            <w:pPr>
              <w:jc w:val="center"/>
              <w:rPr>
                <w:rFonts w:ascii="Arial" w:eastAsia="Arial" w:hAnsi="Arial" w:cs="Arial"/>
                <w:sz w:val="18"/>
                <w:szCs w:val="18"/>
              </w:rPr>
            </w:pPr>
            <w:r>
              <w:rPr>
                <w:rFonts w:ascii="Arial" w:eastAsia="Arial" w:hAnsi="Arial" w:cs="Arial"/>
                <w:sz w:val="18"/>
                <w:szCs w:val="18"/>
              </w:rPr>
              <w:t>Subdirectora Académica</w:t>
            </w:r>
          </w:p>
          <w:p w14:paraId="36844C58" w14:textId="77777777" w:rsidR="00327289" w:rsidRDefault="00327289">
            <w:pPr>
              <w:jc w:val="center"/>
              <w:rPr>
                <w:rFonts w:ascii="Arial" w:eastAsia="Arial" w:hAnsi="Arial" w:cs="Arial"/>
                <w:sz w:val="18"/>
                <w:szCs w:val="18"/>
              </w:rPr>
            </w:pPr>
          </w:p>
        </w:tc>
      </w:tr>
      <w:tr w:rsidR="00327289" w14:paraId="7A5B8D1C" w14:textId="77777777">
        <w:tc>
          <w:tcPr>
            <w:tcW w:w="9606" w:type="dxa"/>
            <w:gridSpan w:val="3"/>
          </w:tcPr>
          <w:p w14:paraId="7D211CD2" w14:textId="77777777" w:rsidR="00327289" w:rsidRDefault="006227DC">
            <w:pPr>
              <w:jc w:val="center"/>
              <w:rPr>
                <w:rFonts w:ascii="Arial" w:eastAsia="Arial" w:hAnsi="Arial" w:cs="Arial"/>
                <w:b/>
                <w:sz w:val="18"/>
                <w:szCs w:val="18"/>
              </w:rPr>
            </w:pPr>
            <w:r>
              <w:rPr>
                <w:rFonts w:ascii="Arial" w:eastAsia="Arial" w:hAnsi="Arial" w:cs="Arial"/>
                <w:b/>
                <w:sz w:val="18"/>
                <w:szCs w:val="18"/>
              </w:rPr>
              <w:t>Control de cambios</w:t>
            </w:r>
          </w:p>
        </w:tc>
      </w:tr>
      <w:tr w:rsidR="00327289" w14:paraId="379B6C8F" w14:textId="77777777">
        <w:tc>
          <w:tcPr>
            <w:tcW w:w="2992" w:type="dxa"/>
          </w:tcPr>
          <w:p w14:paraId="25416FDF" w14:textId="77777777" w:rsidR="00327289" w:rsidRDefault="006227DC">
            <w:pPr>
              <w:jc w:val="center"/>
              <w:rPr>
                <w:rFonts w:ascii="Arial" w:eastAsia="Arial" w:hAnsi="Arial" w:cs="Arial"/>
                <w:b/>
                <w:sz w:val="18"/>
                <w:szCs w:val="18"/>
              </w:rPr>
            </w:pPr>
            <w:r>
              <w:rPr>
                <w:rFonts w:ascii="Arial" w:eastAsia="Arial" w:hAnsi="Arial" w:cs="Arial"/>
                <w:b/>
                <w:sz w:val="18"/>
                <w:szCs w:val="18"/>
              </w:rPr>
              <w:t>Fecha</w:t>
            </w:r>
          </w:p>
        </w:tc>
        <w:tc>
          <w:tcPr>
            <w:tcW w:w="6614" w:type="dxa"/>
            <w:gridSpan w:val="2"/>
          </w:tcPr>
          <w:p w14:paraId="5A6D8BDC" w14:textId="77777777" w:rsidR="00327289" w:rsidRDefault="006227DC">
            <w:pPr>
              <w:jc w:val="center"/>
              <w:rPr>
                <w:rFonts w:ascii="Arial" w:eastAsia="Arial" w:hAnsi="Arial" w:cs="Arial"/>
                <w:b/>
                <w:sz w:val="18"/>
                <w:szCs w:val="18"/>
              </w:rPr>
            </w:pPr>
            <w:r>
              <w:rPr>
                <w:rFonts w:ascii="Arial" w:eastAsia="Arial" w:hAnsi="Arial" w:cs="Arial"/>
                <w:b/>
                <w:sz w:val="18"/>
                <w:szCs w:val="18"/>
              </w:rPr>
              <w:t>Descripción</w:t>
            </w:r>
          </w:p>
        </w:tc>
      </w:tr>
      <w:tr w:rsidR="00327289" w14:paraId="3B31E3D2" w14:textId="77777777">
        <w:tc>
          <w:tcPr>
            <w:tcW w:w="2992" w:type="dxa"/>
          </w:tcPr>
          <w:p w14:paraId="60A08A88" w14:textId="77777777" w:rsidR="00327289" w:rsidRDefault="00327289">
            <w:pPr>
              <w:jc w:val="center"/>
              <w:rPr>
                <w:rFonts w:ascii="Arial" w:eastAsia="Arial" w:hAnsi="Arial" w:cs="Arial"/>
                <w:sz w:val="18"/>
                <w:szCs w:val="18"/>
              </w:rPr>
            </w:pPr>
          </w:p>
          <w:p w14:paraId="09EF626B" w14:textId="77777777" w:rsidR="00327289" w:rsidRDefault="00327289">
            <w:pPr>
              <w:jc w:val="center"/>
              <w:rPr>
                <w:rFonts w:ascii="Arial" w:eastAsia="Arial" w:hAnsi="Arial" w:cs="Arial"/>
                <w:sz w:val="18"/>
                <w:szCs w:val="18"/>
              </w:rPr>
            </w:pPr>
          </w:p>
          <w:p w14:paraId="3F9F62A3" w14:textId="77777777" w:rsidR="00327289" w:rsidRDefault="006227DC">
            <w:pPr>
              <w:jc w:val="center"/>
              <w:rPr>
                <w:rFonts w:ascii="Arial" w:eastAsia="Arial" w:hAnsi="Arial" w:cs="Arial"/>
                <w:sz w:val="18"/>
                <w:szCs w:val="18"/>
              </w:rPr>
            </w:pPr>
            <w:r>
              <w:rPr>
                <w:rFonts w:ascii="Arial" w:eastAsia="Arial" w:hAnsi="Arial" w:cs="Arial"/>
                <w:sz w:val="18"/>
                <w:szCs w:val="18"/>
              </w:rPr>
              <w:t>Marzo 23 de 2018</w:t>
            </w:r>
          </w:p>
        </w:tc>
        <w:tc>
          <w:tcPr>
            <w:tcW w:w="6614" w:type="dxa"/>
            <w:gridSpan w:val="2"/>
          </w:tcPr>
          <w:p w14:paraId="6097D0CB" w14:textId="77777777" w:rsidR="00327289" w:rsidRDefault="006227DC">
            <w:pPr>
              <w:rPr>
                <w:rFonts w:ascii="Arial" w:eastAsia="Arial" w:hAnsi="Arial" w:cs="Arial"/>
                <w:sz w:val="18"/>
                <w:szCs w:val="18"/>
              </w:rPr>
            </w:pPr>
            <w:r>
              <w:rPr>
                <w:rFonts w:ascii="Arial" w:eastAsia="Arial" w:hAnsi="Arial" w:cs="Arial"/>
                <w:sz w:val="18"/>
                <w:szCs w:val="18"/>
              </w:rPr>
              <w:t>Creación documento teniendo en cuenta los lineamientos del Manual Único de Rendición de Cuentas de la Presidencia de la República- Secretaría de Transparencia- Departamento Administrativo de la Función Pública DAFP y el Departamento Nacional de Planeación DNP</w:t>
            </w:r>
          </w:p>
        </w:tc>
      </w:tr>
      <w:tr w:rsidR="00327289" w14:paraId="72491E0D" w14:textId="77777777">
        <w:tc>
          <w:tcPr>
            <w:tcW w:w="2992" w:type="dxa"/>
          </w:tcPr>
          <w:p w14:paraId="03FDD499" w14:textId="77777777" w:rsidR="00327289" w:rsidRDefault="006227DC">
            <w:pPr>
              <w:jc w:val="center"/>
              <w:rPr>
                <w:rFonts w:ascii="Arial" w:eastAsia="Arial" w:hAnsi="Arial" w:cs="Arial"/>
                <w:sz w:val="18"/>
                <w:szCs w:val="18"/>
              </w:rPr>
            </w:pPr>
            <w:r>
              <w:rPr>
                <w:rFonts w:ascii="Arial" w:eastAsia="Arial" w:hAnsi="Arial" w:cs="Arial"/>
                <w:sz w:val="18"/>
                <w:szCs w:val="18"/>
              </w:rPr>
              <w:t xml:space="preserve">Octubre 31 de 2018 </w:t>
            </w:r>
          </w:p>
        </w:tc>
        <w:tc>
          <w:tcPr>
            <w:tcW w:w="6614" w:type="dxa"/>
            <w:gridSpan w:val="2"/>
          </w:tcPr>
          <w:p w14:paraId="3BD194E0" w14:textId="77777777" w:rsidR="00327289" w:rsidRDefault="006227DC">
            <w:pPr>
              <w:rPr>
                <w:rFonts w:ascii="Arial" w:eastAsia="Arial" w:hAnsi="Arial" w:cs="Arial"/>
                <w:sz w:val="18"/>
                <w:szCs w:val="18"/>
              </w:rPr>
            </w:pPr>
            <w:r>
              <w:rPr>
                <w:rFonts w:ascii="Arial" w:eastAsia="Arial" w:hAnsi="Arial" w:cs="Arial"/>
                <w:sz w:val="18"/>
                <w:szCs w:val="18"/>
              </w:rPr>
              <w:t xml:space="preserve">Actualización de las acciones de diálogo del numeral 4.4 </w:t>
            </w:r>
          </w:p>
        </w:tc>
      </w:tr>
      <w:tr w:rsidR="00327289" w14:paraId="49924130" w14:textId="77777777">
        <w:tc>
          <w:tcPr>
            <w:tcW w:w="2992" w:type="dxa"/>
          </w:tcPr>
          <w:p w14:paraId="7A12E044" w14:textId="77777777" w:rsidR="00327289" w:rsidRDefault="006227DC">
            <w:pPr>
              <w:jc w:val="center"/>
              <w:rPr>
                <w:rFonts w:ascii="Arial" w:eastAsia="Arial" w:hAnsi="Arial" w:cs="Arial"/>
                <w:sz w:val="18"/>
                <w:szCs w:val="18"/>
              </w:rPr>
            </w:pPr>
            <w:r>
              <w:rPr>
                <w:rFonts w:ascii="Arial" w:eastAsia="Arial" w:hAnsi="Arial" w:cs="Arial"/>
                <w:sz w:val="18"/>
                <w:szCs w:val="18"/>
              </w:rPr>
              <w:t>Enero 31 de 2019</w:t>
            </w:r>
          </w:p>
        </w:tc>
        <w:tc>
          <w:tcPr>
            <w:tcW w:w="6614" w:type="dxa"/>
            <w:gridSpan w:val="2"/>
          </w:tcPr>
          <w:p w14:paraId="4132812C" w14:textId="77777777" w:rsidR="00327289" w:rsidRDefault="006227DC">
            <w:pPr>
              <w:rPr>
                <w:rFonts w:ascii="Arial" w:eastAsia="Arial" w:hAnsi="Arial" w:cs="Arial"/>
                <w:sz w:val="18"/>
                <w:szCs w:val="18"/>
              </w:rPr>
            </w:pPr>
            <w:r>
              <w:rPr>
                <w:rFonts w:ascii="Arial" w:eastAsia="Arial" w:hAnsi="Arial" w:cs="Arial"/>
                <w:sz w:val="18"/>
                <w:szCs w:val="18"/>
              </w:rPr>
              <w:t xml:space="preserve">Actualización del documento con los lineamientos del Manual Único de Rendición de Cuentas de Función Pública con un enfoque en Derechos Humanos </w:t>
            </w:r>
          </w:p>
        </w:tc>
      </w:tr>
      <w:tr w:rsidR="00327289" w14:paraId="174598D2" w14:textId="77777777">
        <w:tc>
          <w:tcPr>
            <w:tcW w:w="2992" w:type="dxa"/>
          </w:tcPr>
          <w:p w14:paraId="0ADB9DDD" w14:textId="77777777" w:rsidR="00327289" w:rsidRDefault="006227DC">
            <w:pPr>
              <w:jc w:val="center"/>
              <w:rPr>
                <w:rFonts w:ascii="Arial" w:eastAsia="Arial" w:hAnsi="Arial" w:cs="Arial"/>
                <w:sz w:val="18"/>
                <w:szCs w:val="18"/>
              </w:rPr>
            </w:pPr>
            <w:r>
              <w:rPr>
                <w:rFonts w:ascii="Arial" w:eastAsia="Arial" w:hAnsi="Arial" w:cs="Arial"/>
                <w:sz w:val="18"/>
                <w:szCs w:val="18"/>
              </w:rPr>
              <w:t xml:space="preserve">Marzo 30 de 2019 </w:t>
            </w:r>
          </w:p>
        </w:tc>
        <w:tc>
          <w:tcPr>
            <w:tcW w:w="6614" w:type="dxa"/>
            <w:gridSpan w:val="2"/>
          </w:tcPr>
          <w:p w14:paraId="2643EF71" w14:textId="77777777" w:rsidR="00327289" w:rsidRDefault="006227DC">
            <w:pPr>
              <w:jc w:val="both"/>
              <w:rPr>
                <w:rFonts w:ascii="Arial" w:eastAsia="Arial" w:hAnsi="Arial" w:cs="Arial"/>
                <w:sz w:val="18"/>
                <w:szCs w:val="18"/>
              </w:rPr>
            </w:pPr>
            <w:r>
              <w:rPr>
                <w:rFonts w:ascii="Arial" w:eastAsia="Arial" w:hAnsi="Arial" w:cs="Arial"/>
                <w:sz w:val="18"/>
                <w:szCs w:val="18"/>
              </w:rPr>
              <w:t xml:space="preserve">Se incorpora al documento, los resultados del autodiagnóstico de la Rendición de Cuentas, atendiendo a los lineamientos del Modelo Integrado de Planeación y Gestión. </w:t>
            </w:r>
          </w:p>
        </w:tc>
      </w:tr>
      <w:tr w:rsidR="00327289" w14:paraId="52068EBD" w14:textId="77777777">
        <w:tc>
          <w:tcPr>
            <w:tcW w:w="2992" w:type="dxa"/>
          </w:tcPr>
          <w:p w14:paraId="640470CD" w14:textId="77777777" w:rsidR="00327289" w:rsidRDefault="006227DC">
            <w:pPr>
              <w:jc w:val="center"/>
              <w:rPr>
                <w:rFonts w:ascii="Arial" w:eastAsia="Arial" w:hAnsi="Arial" w:cs="Arial"/>
                <w:sz w:val="18"/>
                <w:szCs w:val="18"/>
              </w:rPr>
            </w:pPr>
            <w:r>
              <w:rPr>
                <w:rFonts w:ascii="Arial" w:eastAsia="Arial" w:hAnsi="Arial" w:cs="Arial"/>
                <w:sz w:val="18"/>
                <w:szCs w:val="18"/>
              </w:rPr>
              <w:t xml:space="preserve">Marzo 24 de 2020 </w:t>
            </w:r>
          </w:p>
        </w:tc>
        <w:tc>
          <w:tcPr>
            <w:tcW w:w="6614" w:type="dxa"/>
            <w:gridSpan w:val="2"/>
          </w:tcPr>
          <w:p w14:paraId="19685160" w14:textId="77777777" w:rsidR="00327289" w:rsidRDefault="006227DC">
            <w:pPr>
              <w:jc w:val="both"/>
              <w:rPr>
                <w:rFonts w:ascii="Arial" w:eastAsia="Arial" w:hAnsi="Arial" w:cs="Arial"/>
                <w:sz w:val="18"/>
                <w:szCs w:val="18"/>
              </w:rPr>
            </w:pPr>
            <w:r>
              <w:rPr>
                <w:rFonts w:ascii="Arial" w:eastAsia="Arial" w:hAnsi="Arial" w:cs="Arial"/>
                <w:sz w:val="18"/>
                <w:szCs w:val="18"/>
              </w:rPr>
              <w:t xml:space="preserve">Se incorpora al documento, los resultados del autodiagnóstico de la Rendición de Cuentas para la vigencia 2019, atendiendo a los lineamientos del Modelo Integrado de Planeación y Gestión. Se ajustan las actividades de los numerales 3.2 capacitación, 3.3 publicación de la información, 3.4 diálogos ciudadanos y 3.5 Audiencia pública. </w:t>
            </w:r>
          </w:p>
        </w:tc>
      </w:tr>
      <w:tr w:rsidR="00327289" w14:paraId="7769BB2D" w14:textId="77777777">
        <w:tc>
          <w:tcPr>
            <w:tcW w:w="2992" w:type="dxa"/>
          </w:tcPr>
          <w:p w14:paraId="609ED1B5" w14:textId="77777777" w:rsidR="00327289" w:rsidRDefault="006227DC">
            <w:pPr>
              <w:jc w:val="center"/>
              <w:rPr>
                <w:rFonts w:ascii="Arial" w:eastAsia="Arial" w:hAnsi="Arial" w:cs="Arial"/>
                <w:sz w:val="18"/>
                <w:szCs w:val="18"/>
              </w:rPr>
            </w:pPr>
            <w:r>
              <w:rPr>
                <w:rFonts w:ascii="Arial" w:eastAsia="Arial" w:hAnsi="Arial" w:cs="Arial"/>
                <w:sz w:val="18"/>
                <w:szCs w:val="18"/>
              </w:rPr>
              <w:t>Septiembre 25 de 2020</w:t>
            </w:r>
          </w:p>
        </w:tc>
        <w:tc>
          <w:tcPr>
            <w:tcW w:w="6614" w:type="dxa"/>
            <w:gridSpan w:val="2"/>
          </w:tcPr>
          <w:p w14:paraId="47DFFFEB" w14:textId="77777777" w:rsidR="00327289" w:rsidRDefault="006227DC">
            <w:pPr>
              <w:jc w:val="both"/>
              <w:rPr>
                <w:rFonts w:ascii="Arial" w:eastAsia="Arial" w:hAnsi="Arial" w:cs="Arial"/>
                <w:sz w:val="18"/>
                <w:szCs w:val="18"/>
              </w:rPr>
            </w:pPr>
            <w:r>
              <w:rPr>
                <w:rFonts w:ascii="Arial" w:eastAsia="Arial" w:hAnsi="Arial" w:cs="Arial"/>
                <w:sz w:val="18"/>
                <w:szCs w:val="18"/>
              </w:rPr>
              <w:t>Se actualiza el documento con las actividades programadas en el marco del nuevo Plan de desarrollo distrital “Un nuevo contrato social y ambiental para la Bogotá del siglo XXI 2020-2024”, se actualizan los numerales 3.3 y 3.4 atendiendo a los lineamientos de la Veeduría Distrital en la Circular No 006 de 2020 y se ajustan algunas actividades teniendo en cuenta la situación de emergencia sanitaria al dar fuerza al desarrollo de actividades virtuales.</w:t>
            </w:r>
          </w:p>
        </w:tc>
      </w:tr>
      <w:tr w:rsidR="00327289" w14:paraId="0345F363" w14:textId="77777777">
        <w:tc>
          <w:tcPr>
            <w:tcW w:w="2992" w:type="dxa"/>
          </w:tcPr>
          <w:p w14:paraId="2E3EA143" w14:textId="7C215130" w:rsidR="00327289" w:rsidRDefault="006227DC">
            <w:pPr>
              <w:jc w:val="center"/>
              <w:rPr>
                <w:rFonts w:ascii="Arial" w:eastAsia="Arial" w:hAnsi="Arial" w:cs="Arial"/>
                <w:sz w:val="18"/>
                <w:szCs w:val="18"/>
              </w:rPr>
            </w:pPr>
            <w:r>
              <w:rPr>
                <w:rFonts w:ascii="Arial" w:eastAsia="Arial" w:hAnsi="Arial" w:cs="Arial"/>
                <w:sz w:val="18"/>
                <w:szCs w:val="18"/>
              </w:rPr>
              <w:t xml:space="preserve">Marzo </w:t>
            </w:r>
            <w:r w:rsidR="00906FD2">
              <w:rPr>
                <w:rFonts w:ascii="Arial" w:eastAsia="Arial" w:hAnsi="Arial" w:cs="Arial"/>
                <w:sz w:val="18"/>
                <w:szCs w:val="18"/>
              </w:rPr>
              <w:t>30</w:t>
            </w:r>
            <w:r>
              <w:rPr>
                <w:rFonts w:ascii="Arial" w:eastAsia="Arial" w:hAnsi="Arial" w:cs="Arial"/>
                <w:sz w:val="18"/>
                <w:szCs w:val="18"/>
              </w:rPr>
              <w:t xml:space="preserve"> de 2021</w:t>
            </w:r>
          </w:p>
        </w:tc>
        <w:tc>
          <w:tcPr>
            <w:tcW w:w="6614" w:type="dxa"/>
            <w:gridSpan w:val="2"/>
          </w:tcPr>
          <w:p w14:paraId="33BD612E" w14:textId="7F3376C9" w:rsidR="00327289" w:rsidRDefault="006227DC">
            <w:pPr>
              <w:jc w:val="both"/>
              <w:rPr>
                <w:rFonts w:ascii="Arial" w:eastAsia="Arial" w:hAnsi="Arial" w:cs="Arial"/>
                <w:sz w:val="18"/>
                <w:szCs w:val="18"/>
              </w:rPr>
            </w:pPr>
            <w:r>
              <w:rPr>
                <w:rFonts w:ascii="Arial" w:eastAsia="Arial" w:hAnsi="Arial" w:cs="Arial"/>
                <w:sz w:val="18"/>
                <w:szCs w:val="18"/>
              </w:rPr>
              <w:t>Se actualiza el autodiagnóstico y cronograma. Adicionalmente teniendo en cuenta los lineamientos del MURC se actualiza la ruta metodológica y los elementos de la rendición de cuentas.</w:t>
            </w:r>
          </w:p>
        </w:tc>
      </w:tr>
      <w:tr w:rsidR="00EE0086" w14:paraId="2B64FE5A" w14:textId="77777777" w:rsidTr="00BB1BFE">
        <w:tc>
          <w:tcPr>
            <w:tcW w:w="2992" w:type="dxa"/>
            <w:vAlign w:val="center"/>
          </w:tcPr>
          <w:p w14:paraId="18F17BD2" w14:textId="1FF06A19" w:rsidR="00EE0086" w:rsidRDefault="00EE0086" w:rsidP="00EE0086">
            <w:pPr>
              <w:jc w:val="center"/>
              <w:rPr>
                <w:rFonts w:ascii="Arial" w:eastAsia="Arial" w:hAnsi="Arial" w:cs="Arial"/>
                <w:sz w:val="18"/>
                <w:szCs w:val="18"/>
              </w:rPr>
            </w:pPr>
            <w:r w:rsidRPr="00EE0086">
              <w:rPr>
                <w:rFonts w:ascii="Arial" w:eastAsia="Arial" w:hAnsi="Arial" w:cs="Arial"/>
                <w:sz w:val="18"/>
                <w:szCs w:val="18"/>
              </w:rPr>
              <w:t>Julio 29 de 2021</w:t>
            </w:r>
          </w:p>
        </w:tc>
        <w:tc>
          <w:tcPr>
            <w:tcW w:w="6614" w:type="dxa"/>
            <w:gridSpan w:val="2"/>
            <w:vAlign w:val="center"/>
          </w:tcPr>
          <w:p w14:paraId="0327DD64" w14:textId="03766DEE" w:rsidR="00EE0086" w:rsidRDefault="00EE0086" w:rsidP="00EE0086">
            <w:pPr>
              <w:jc w:val="both"/>
              <w:rPr>
                <w:rFonts w:ascii="Arial" w:eastAsia="Arial" w:hAnsi="Arial" w:cs="Arial"/>
                <w:sz w:val="18"/>
                <w:szCs w:val="18"/>
              </w:rPr>
            </w:pPr>
            <w:r w:rsidRPr="00EE0086">
              <w:rPr>
                <w:rFonts w:ascii="Arial" w:eastAsia="Arial" w:hAnsi="Arial" w:cs="Arial"/>
                <w:sz w:val="18"/>
                <w:szCs w:val="18"/>
              </w:rPr>
              <w:t>Se ajust</w:t>
            </w:r>
            <w:r w:rsidR="002254EC">
              <w:rPr>
                <w:rFonts w:ascii="Arial" w:eastAsia="Arial" w:hAnsi="Arial" w:cs="Arial"/>
                <w:sz w:val="18"/>
                <w:szCs w:val="18"/>
              </w:rPr>
              <w:t>aron</w:t>
            </w:r>
            <w:r w:rsidRPr="00EE0086">
              <w:rPr>
                <w:rFonts w:ascii="Arial" w:eastAsia="Arial" w:hAnsi="Arial" w:cs="Arial"/>
                <w:sz w:val="18"/>
                <w:szCs w:val="18"/>
              </w:rPr>
              <w:t xml:space="preserve"> las fechas de </w:t>
            </w:r>
            <w:r>
              <w:rPr>
                <w:rFonts w:ascii="Arial" w:eastAsia="Arial" w:hAnsi="Arial" w:cs="Arial"/>
                <w:sz w:val="18"/>
                <w:szCs w:val="18"/>
              </w:rPr>
              <w:t>dos</w:t>
            </w:r>
            <w:r w:rsidRPr="00EE0086">
              <w:rPr>
                <w:rFonts w:ascii="Arial" w:eastAsia="Arial" w:hAnsi="Arial" w:cs="Arial"/>
                <w:sz w:val="18"/>
                <w:szCs w:val="18"/>
              </w:rPr>
              <w:t xml:space="preserve"> actividades del plan de participación ciudadana para la vigencia 2021: de los dos espacios de dialogo ciudadano en el marco de rendición de cuentas en los eventos que se programen desde la Subdirección Académica</w:t>
            </w:r>
            <w:r>
              <w:rPr>
                <w:rFonts w:ascii="Arial" w:eastAsia="Arial" w:hAnsi="Arial" w:cs="Arial"/>
                <w:sz w:val="18"/>
                <w:szCs w:val="18"/>
              </w:rPr>
              <w:t xml:space="preserve"> </w:t>
            </w:r>
            <w:r w:rsidRPr="00EE0086">
              <w:rPr>
                <w:rFonts w:ascii="Arial" w:eastAsia="Arial" w:hAnsi="Arial" w:cs="Arial"/>
                <w:sz w:val="18"/>
                <w:szCs w:val="18"/>
              </w:rPr>
              <w:t xml:space="preserve">y en la socialización y cierre Programa "Maestros y maestras que inspiran". Se realiza el ajuste debido a modificación de los cronogramas para el desarrollo de estos estudios.  </w:t>
            </w:r>
          </w:p>
        </w:tc>
      </w:tr>
    </w:tbl>
    <w:p w14:paraId="2D96CFFE" w14:textId="77777777" w:rsidR="00327289" w:rsidRDefault="00327289">
      <w:pPr>
        <w:jc w:val="center"/>
        <w:rPr>
          <w:rFonts w:ascii="Arial" w:eastAsia="Arial" w:hAnsi="Arial" w:cs="Arial"/>
          <w:sz w:val="22"/>
          <w:szCs w:val="22"/>
        </w:rPr>
      </w:pPr>
    </w:p>
    <w:p w14:paraId="0DB61181" w14:textId="77777777" w:rsidR="00327289" w:rsidRDefault="00327289">
      <w:pPr>
        <w:jc w:val="center"/>
        <w:rPr>
          <w:rFonts w:ascii="Arial" w:eastAsia="Arial" w:hAnsi="Arial" w:cs="Arial"/>
          <w:sz w:val="22"/>
          <w:szCs w:val="22"/>
        </w:rPr>
      </w:pPr>
    </w:p>
    <w:p w14:paraId="1CCA3E42" w14:textId="77777777" w:rsidR="00327289" w:rsidRDefault="00327289">
      <w:pPr>
        <w:jc w:val="center"/>
        <w:rPr>
          <w:rFonts w:ascii="Arial" w:eastAsia="Arial" w:hAnsi="Arial" w:cs="Arial"/>
          <w:sz w:val="22"/>
          <w:szCs w:val="22"/>
        </w:rPr>
      </w:pPr>
    </w:p>
    <w:p w14:paraId="15C32CE4" w14:textId="77777777" w:rsidR="00327289" w:rsidRDefault="00327289">
      <w:pPr>
        <w:jc w:val="center"/>
        <w:rPr>
          <w:rFonts w:ascii="Arial" w:eastAsia="Arial" w:hAnsi="Arial" w:cs="Arial"/>
          <w:sz w:val="22"/>
          <w:szCs w:val="22"/>
        </w:rPr>
      </w:pPr>
    </w:p>
    <w:p w14:paraId="7B9DE22B" w14:textId="77777777" w:rsidR="00327289" w:rsidRDefault="00327289">
      <w:pPr>
        <w:jc w:val="center"/>
        <w:rPr>
          <w:rFonts w:ascii="Arial" w:eastAsia="Arial" w:hAnsi="Arial" w:cs="Arial"/>
          <w:sz w:val="22"/>
          <w:szCs w:val="22"/>
        </w:rPr>
      </w:pPr>
    </w:p>
    <w:p w14:paraId="72FA866D" w14:textId="77777777" w:rsidR="00327289" w:rsidRDefault="00327289">
      <w:pPr>
        <w:jc w:val="center"/>
        <w:rPr>
          <w:rFonts w:ascii="Arial" w:eastAsia="Arial" w:hAnsi="Arial" w:cs="Arial"/>
          <w:sz w:val="22"/>
          <w:szCs w:val="22"/>
        </w:rPr>
      </w:pPr>
    </w:p>
    <w:p w14:paraId="1003F8B7" w14:textId="77777777" w:rsidR="00327289" w:rsidRDefault="00327289">
      <w:pPr>
        <w:jc w:val="center"/>
        <w:rPr>
          <w:rFonts w:ascii="Arial" w:eastAsia="Arial" w:hAnsi="Arial" w:cs="Arial"/>
          <w:sz w:val="22"/>
          <w:szCs w:val="22"/>
        </w:rPr>
      </w:pPr>
    </w:p>
    <w:p w14:paraId="4509AA6F" w14:textId="2B627131" w:rsidR="00327289" w:rsidRDefault="00327289">
      <w:pPr>
        <w:jc w:val="center"/>
        <w:rPr>
          <w:rFonts w:ascii="Arial" w:eastAsia="Arial" w:hAnsi="Arial" w:cs="Arial"/>
          <w:sz w:val="22"/>
          <w:szCs w:val="22"/>
        </w:rPr>
      </w:pPr>
    </w:p>
    <w:p w14:paraId="7A9D4047" w14:textId="77777777" w:rsidR="00EE0086" w:rsidRDefault="00EE0086">
      <w:pPr>
        <w:jc w:val="center"/>
        <w:rPr>
          <w:rFonts w:ascii="Arial" w:eastAsia="Arial" w:hAnsi="Arial" w:cs="Arial"/>
          <w:sz w:val="22"/>
          <w:szCs w:val="22"/>
        </w:rPr>
      </w:pPr>
    </w:p>
    <w:p w14:paraId="1EDC4403" w14:textId="77777777" w:rsidR="00327289" w:rsidRDefault="006227DC">
      <w:pPr>
        <w:keepNext/>
        <w:keepLines/>
        <w:pBdr>
          <w:top w:val="nil"/>
          <w:left w:val="nil"/>
          <w:bottom w:val="nil"/>
          <w:right w:val="nil"/>
          <w:between w:val="nil"/>
        </w:pBdr>
        <w:spacing w:before="240"/>
        <w:ind w:left="432" w:hanging="432"/>
        <w:jc w:val="center"/>
        <w:rPr>
          <w:rFonts w:ascii="Arial" w:eastAsia="Arial" w:hAnsi="Arial" w:cs="Arial"/>
          <w:b/>
          <w:color w:val="000000"/>
          <w:sz w:val="22"/>
          <w:szCs w:val="22"/>
        </w:rPr>
      </w:pPr>
      <w:r>
        <w:rPr>
          <w:rFonts w:ascii="Arial" w:eastAsia="Arial" w:hAnsi="Arial" w:cs="Arial"/>
          <w:b/>
          <w:color w:val="000000"/>
          <w:sz w:val="22"/>
          <w:szCs w:val="22"/>
        </w:rPr>
        <w:t>TABLA DE CONTENIDO</w:t>
      </w:r>
    </w:p>
    <w:p w14:paraId="0329D8D9" w14:textId="77777777" w:rsidR="00327289" w:rsidRDefault="00327289">
      <w:pPr>
        <w:rPr>
          <w:rFonts w:ascii="Arial" w:eastAsia="Arial" w:hAnsi="Arial" w:cs="Arial"/>
          <w:sz w:val="22"/>
          <w:szCs w:val="22"/>
        </w:rPr>
      </w:pPr>
    </w:p>
    <w:sdt>
      <w:sdtPr>
        <w:rPr>
          <w:rFonts w:ascii="Times New Roman" w:eastAsia="Times New Roman" w:hAnsi="Times New Roman" w:cs="Times New Roman"/>
          <w:bCs w:val="0"/>
          <w:noProof w:val="0"/>
          <w:kern w:val="0"/>
          <w:sz w:val="20"/>
          <w:szCs w:val="20"/>
          <w:lang w:val="es-ES_tradnl" w:eastAsia="es-CO"/>
        </w:rPr>
        <w:id w:val="-1502352261"/>
        <w:docPartObj>
          <w:docPartGallery w:val="Table of Contents"/>
          <w:docPartUnique/>
        </w:docPartObj>
      </w:sdtPr>
      <w:sdtEndPr/>
      <w:sdtContent>
        <w:p w14:paraId="6B51C98E" w14:textId="676ADE0E" w:rsidR="00CA01F2" w:rsidRPr="00CA01F2" w:rsidRDefault="006227DC" w:rsidP="00CA01F2">
          <w:pPr>
            <w:pStyle w:val="TDC1"/>
            <w:jc w:val="both"/>
            <w:rPr>
              <w:rFonts w:eastAsiaTheme="minorEastAsia"/>
              <w:bCs w:val="0"/>
              <w:kern w:val="0"/>
              <w:lang w:eastAsia="es-CO"/>
            </w:rPr>
          </w:pPr>
          <w:r w:rsidRPr="00CA01F2">
            <w:fldChar w:fldCharType="begin"/>
          </w:r>
          <w:r w:rsidRPr="00CA01F2">
            <w:instrText xml:space="preserve"> TOC \h \u \z </w:instrText>
          </w:r>
          <w:r w:rsidRPr="00CA01F2">
            <w:fldChar w:fldCharType="separate"/>
          </w:r>
          <w:hyperlink w:anchor="_Toc78483635" w:history="1">
            <w:r w:rsidR="00CA01F2" w:rsidRPr="00CA01F2">
              <w:rPr>
                <w:rStyle w:val="Hipervnculo"/>
              </w:rPr>
              <w:t>INTRODUCCIÓN</w:t>
            </w:r>
            <w:r w:rsidR="00CA01F2" w:rsidRPr="00CA01F2">
              <w:rPr>
                <w:webHidden/>
              </w:rPr>
              <w:tab/>
            </w:r>
            <w:r w:rsidR="00CA01F2" w:rsidRPr="00CA01F2">
              <w:rPr>
                <w:webHidden/>
              </w:rPr>
              <w:fldChar w:fldCharType="begin"/>
            </w:r>
            <w:r w:rsidR="00CA01F2" w:rsidRPr="00CA01F2">
              <w:rPr>
                <w:webHidden/>
              </w:rPr>
              <w:instrText xml:space="preserve"> PAGEREF _Toc78483635 \h </w:instrText>
            </w:r>
            <w:r w:rsidR="00CA01F2" w:rsidRPr="00CA01F2">
              <w:rPr>
                <w:webHidden/>
              </w:rPr>
            </w:r>
            <w:r w:rsidR="00CA01F2" w:rsidRPr="00CA01F2">
              <w:rPr>
                <w:webHidden/>
              </w:rPr>
              <w:fldChar w:fldCharType="separate"/>
            </w:r>
            <w:r w:rsidR="00CA01F2" w:rsidRPr="00CA01F2">
              <w:rPr>
                <w:webHidden/>
              </w:rPr>
              <w:t>3</w:t>
            </w:r>
            <w:r w:rsidR="00CA01F2" w:rsidRPr="00CA01F2">
              <w:rPr>
                <w:webHidden/>
              </w:rPr>
              <w:fldChar w:fldCharType="end"/>
            </w:r>
          </w:hyperlink>
        </w:p>
        <w:p w14:paraId="3BAE48AB" w14:textId="641619B9" w:rsidR="00CA01F2" w:rsidRPr="00CA01F2" w:rsidRDefault="005C5288" w:rsidP="00CA01F2">
          <w:pPr>
            <w:pStyle w:val="TDC1"/>
            <w:jc w:val="both"/>
            <w:rPr>
              <w:rFonts w:eastAsiaTheme="minorEastAsia"/>
              <w:bCs w:val="0"/>
              <w:kern w:val="0"/>
              <w:lang w:eastAsia="es-CO"/>
            </w:rPr>
          </w:pPr>
          <w:hyperlink w:anchor="_Toc78483636" w:history="1">
            <w:r w:rsidR="00CA01F2" w:rsidRPr="00CA01F2">
              <w:rPr>
                <w:rStyle w:val="Hipervnculo"/>
              </w:rPr>
              <w:t>OBJETIVOS DE LA RENDICIÓN DE CUENTAS</w:t>
            </w:r>
            <w:r w:rsidR="00CA01F2" w:rsidRPr="00CA01F2">
              <w:rPr>
                <w:webHidden/>
              </w:rPr>
              <w:tab/>
            </w:r>
            <w:r w:rsidR="00CA01F2" w:rsidRPr="00CA01F2">
              <w:rPr>
                <w:webHidden/>
              </w:rPr>
              <w:fldChar w:fldCharType="begin"/>
            </w:r>
            <w:r w:rsidR="00CA01F2" w:rsidRPr="00CA01F2">
              <w:rPr>
                <w:webHidden/>
              </w:rPr>
              <w:instrText xml:space="preserve"> PAGEREF _Toc78483636 \h </w:instrText>
            </w:r>
            <w:r w:rsidR="00CA01F2" w:rsidRPr="00CA01F2">
              <w:rPr>
                <w:webHidden/>
              </w:rPr>
            </w:r>
            <w:r w:rsidR="00CA01F2" w:rsidRPr="00CA01F2">
              <w:rPr>
                <w:webHidden/>
              </w:rPr>
              <w:fldChar w:fldCharType="separate"/>
            </w:r>
            <w:r w:rsidR="00CA01F2" w:rsidRPr="00CA01F2">
              <w:rPr>
                <w:webHidden/>
              </w:rPr>
              <w:t>3</w:t>
            </w:r>
            <w:r w:rsidR="00CA01F2" w:rsidRPr="00CA01F2">
              <w:rPr>
                <w:webHidden/>
              </w:rPr>
              <w:fldChar w:fldCharType="end"/>
            </w:r>
          </w:hyperlink>
        </w:p>
        <w:p w14:paraId="28269A2B" w14:textId="0D5DEFA9" w:rsidR="00CA01F2" w:rsidRPr="00CA01F2" w:rsidRDefault="005C5288" w:rsidP="00CA01F2">
          <w:pPr>
            <w:pStyle w:val="TDC1"/>
            <w:jc w:val="both"/>
            <w:rPr>
              <w:rFonts w:eastAsiaTheme="minorEastAsia"/>
              <w:bCs w:val="0"/>
              <w:kern w:val="0"/>
              <w:lang w:eastAsia="es-CO"/>
            </w:rPr>
          </w:pPr>
          <w:hyperlink w:anchor="_Toc78483637" w:history="1">
            <w:r w:rsidR="00CA01F2" w:rsidRPr="00CA01F2">
              <w:rPr>
                <w:rStyle w:val="Hipervnculo"/>
              </w:rPr>
              <w:t>1.</w:t>
            </w:r>
            <w:r w:rsidR="00CA01F2" w:rsidRPr="00CA01F2">
              <w:rPr>
                <w:rFonts w:eastAsiaTheme="minorEastAsia"/>
                <w:bCs w:val="0"/>
                <w:kern w:val="0"/>
                <w:lang w:eastAsia="es-CO"/>
              </w:rPr>
              <w:tab/>
            </w:r>
            <w:r w:rsidR="00CA01F2" w:rsidRPr="00CA01F2">
              <w:rPr>
                <w:rStyle w:val="Hipervnculo"/>
              </w:rPr>
              <w:t>ANÁLISIS DEL ESTADO DEL PROCESO DE RENDICIÓN DE CUENTAS DEL IDEP</w:t>
            </w:r>
            <w:r w:rsidR="00CA01F2" w:rsidRPr="00CA01F2">
              <w:rPr>
                <w:webHidden/>
              </w:rPr>
              <w:tab/>
            </w:r>
            <w:r w:rsidR="00CA01F2" w:rsidRPr="00CA01F2">
              <w:rPr>
                <w:webHidden/>
              </w:rPr>
              <w:fldChar w:fldCharType="begin"/>
            </w:r>
            <w:r w:rsidR="00CA01F2" w:rsidRPr="00CA01F2">
              <w:rPr>
                <w:webHidden/>
              </w:rPr>
              <w:instrText xml:space="preserve"> PAGEREF _Toc78483637 \h </w:instrText>
            </w:r>
            <w:r w:rsidR="00CA01F2" w:rsidRPr="00CA01F2">
              <w:rPr>
                <w:webHidden/>
              </w:rPr>
            </w:r>
            <w:r w:rsidR="00CA01F2" w:rsidRPr="00CA01F2">
              <w:rPr>
                <w:webHidden/>
              </w:rPr>
              <w:fldChar w:fldCharType="separate"/>
            </w:r>
            <w:r w:rsidR="00CA01F2" w:rsidRPr="00CA01F2">
              <w:rPr>
                <w:webHidden/>
              </w:rPr>
              <w:t>4</w:t>
            </w:r>
            <w:r w:rsidR="00CA01F2" w:rsidRPr="00CA01F2">
              <w:rPr>
                <w:webHidden/>
              </w:rPr>
              <w:fldChar w:fldCharType="end"/>
            </w:r>
          </w:hyperlink>
        </w:p>
        <w:p w14:paraId="6BF5397D" w14:textId="486916EA" w:rsidR="00CA01F2" w:rsidRPr="00CA01F2" w:rsidRDefault="005C5288" w:rsidP="00CA01F2">
          <w:pPr>
            <w:pStyle w:val="TDC2"/>
            <w:jc w:val="both"/>
            <w:rPr>
              <w:rFonts w:eastAsiaTheme="minorEastAsia"/>
              <w:iCs w:val="0"/>
            </w:rPr>
          </w:pPr>
          <w:hyperlink w:anchor="_Toc78483638" w:history="1">
            <w:r w:rsidR="00CA01F2" w:rsidRPr="00CA01F2">
              <w:rPr>
                <w:rStyle w:val="Hipervnculo"/>
                <w:rFonts w:eastAsia="Arial"/>
              </w:rPr>
              <w:t>1.1.</w:t>
            </w:r>
            <w:r w:rsidR="00CA01F2" w:rsidRPr="00CA01F2">
              <w:rPr>
                <w:rFonts w:eastAsiaTheme="minorEastAsia"/>
                <w:iCs w:val="0"/>
              </w:rPr>
              <w:tab/>
            </w:r>
            <w:r w:rsidR="00CA01F2" w:rsidRPr="00CA01F2">
              <w:rPr>
                <w:rStyle w:val="Hipervnculo"/>
                <w:rFonts w:eastAsia="Arial"/>
              </w:rPr>
              <w:t>Autodiagnóstico de la rendición de cuentas del IDEP</w:t>
            </w:r>
            <w:r w:rsidR="00CA01F2" w:rsidRPr="00CA01F2">
              <w:rPr>
                <w:webHidden/>
              </w:rPr>
              <w:tab/>
            </w:r>
            <w:r w:rsidR="00CA01F2" w:rsidRPr="00CA01F2">
              <w:rPr>
                <w:webHidden/>
              </w:rPr>
              <w:fldChar w:fldCharType="begin"/>
            </w:r>
            <w:r w:rsidR="00CA01F2" w:rsidRPr="00CA01F2">
              <w:rPr>
                <w:webHidden/>
              </w:rPr>
              <w:instrText xml:space="preserve"> PAGEREF _Toc78483638 \h </w:instrText>
            </w:r>
            <w:r w:rsidR="00CA01F2" w:rsidRPr="00CA01F2">
              <w:rPr>
                <w:webHidden/>
              </w:rPr>
            </w:r>
            <w:r w:rsidR="00CA01F2" w:rsidRPr="00CA01F2">
              <w:rPr>
                <w:webHidden/>
              </w:rPr>
              <w:fldChar w:fldCharType="separate"/>
            </w:r>
            <w:r w:rsidR="00CA01F2" w:rsidRPr="00CA01F2">
              <w:rPr>
                <w:webHidden/>
              </w:rPr>
              <w:t>4</w:t>
            </w:r>
            <w:r w:rsidR="00CA01F2" w:rsidRPr="00CA01F2">
              <w:rPr>
                <w:webHidden/>
              </w:rPr>
              <w:fldChar w:fldCharType="end"/>
            </w:r>
          </w:hyperlink>
        </w:p>
        <w:p w14:paraId="39AB5065" w14:textId="70A48EED" w:rsidR="00CA01F2" w:rsidRPr="00CA01F2" w:rsidRDefault="005C5288" w:rsidP="00CA01F2">
          <w:pPr>
            <w:pStyle w:val="TDC3"/>
            <w:tabs>
              <w:tab w:val="right" w:leader="dot" w:pos="9204"/>
            </w:tabs>
            <w:jc w:val="both"/>
            <w:rPr>
              <w:rFonts w:ascii="Arial" w:eastAsiaTheme="minorEastAsia" w:hAnsi="Arial" w:cs="Arial"/>
              <w:noProof/>
              <w:sz w:val="22"/>
              <w:szCs w:val="22"/>
              <w:lang w:val="es-CO"/>
            </w:rPr>
          </w:pPr>
          <w:hyperlink w:anchor="_Toc78483639" w:history="1">
            <w:r w:rsidR="00CA01F2" w:rsidRPr="00CA01F2">
              <w:rPr>
                <w:rStyle w:val="Hipervnculo"/>
                <w:rFonts w:ascii="Arial" w:eastAsia="Arial" w:hAnsi="Arial" w:cs="Arial"/>
                <w:noProof/>
                <w:sz w:val="22"/>
                <w:szCs w:val="22"/>
              </w:rPr>
              <w:t>1.1.1 Resultados por etapa y categoría</w:t>
            </w:r>
            <w:r w:rsidR="00CA01F2" w:rsidRPr="00CA01F2">
              <w:rPr>
                <w:rFonts w:ascii="Arial" w:hAnsi="Arial" w:cs="Arial"/>
                <w:noProof/>
                <w:webHidden/>
                <w:sz w:val="22"/>
                <w:szCs w:val="22"/>
              </w:rPr>
              <w:tab/>
            </w:r>
            <w:r w:rsidR="00CA01F2" w:rsidRPr="00CA01F2">
              <w:rPr>
                <w:rFonts w:ascii="Arial" w:hAnsi="Arial" w:cs="Arial"/>
                <w:noProof/>
                <w:webHidden/>
                <w:sz w:val="22"/>
                <w:szCs w:val="22"/>
              </w:rPr>
              <w:fldChar w:fldCharType="begin"/>
            </w:r>
            <w:r w:rsidR="00CA01F2" w:rsidRPr="00CA01F2">
              <w:rPr>
                <w:rFonts w:ascii="Arial" w:hAnsi="Arial" w:cs="Arial"/>
                <w:noProof/>
                <w:webHidden/>
                <w:sz w:val="22"/>
                <w:szCs w:val="22"/>
              </w:rPr>
              <w:instrText xml:space="preserve"> PAGEREF _Toc78483639 \h </w:instrText>
            </w:r>
            <w:r w:rsidR="00CA01F2" w:rsidRPr="00CA01F2">
              <w:rPr>
                <w:rFonts w:ascii="Arial" w:hAnsi="Arial" w:cs="Arial"/>
                <w:noProof/>
                <w:webHidden/>
                <w:sz w:val="22"/>
                <w:szCs w:val="22"/>
              </w:rPr>
            </w:r>
            <w:r w:rsidR="00CA01F2" w:rsidRPr="00CA01F2">
              <w:rPr>
                <w:rFonts w:ascii="Arial" w:hAnsi="Arial" w:cs="Arial"/>
                <w:noProof/>
                <w:webHidden/>
                <w:sz w:val="22"/>
                <w:szCs w:val="22"/>
              </w:rPr>
              <w:fldChar w:fldCharType="separate"/>
            </w:r>
            <w:r w:rsidR="00CA01F2" w:rsidRPr="00CA01F2">
              <w:rPr>
                <w:rFonts w:ascii="Arial" w:hAnsi="Arial" w:cs="Arial"/>
                <w:noProof/>
                <w:webHidden/>
                <w:sz w:val="22"/>
                <w:szCs w:val="22"/>
              </w:rPr>
              <w:t>6</w:t>
            </w:r>
            <w:r w:rsidR="00CA01F2" w:rsidRPr="00CA01F2">
              <w:rPr>
                <w:rFonts w:ascii="Arial" w:hAnsi="Arial" w:cs="Arial"/>
                <w:noProof/>
                <w:webHidden/>
                <w:sz w:val="22"/>
                <w:szCs w:val="22"/>
              </w:rPr>
              <w:fldChar w:fldCharType="end"/>
            </w:r>
          </w:hyperlink>
        </w:p>
        <w:p w14:paraId="7C380064" w14:textId="0D3A9D2B" w:rsidR="00CA01F2" w:rsidRPr="00CA01F2" w:rsidRDefault="005C5288" w:rsidP="00CA01F2">
          <w:pPr>
            <w:pStyle w:val="TDC2"/>
            <w:jc w:val="both"/>
            <w:rPr>
              <w:rFonts w:eastAsiaTheme="minorEastAsia"/>
              <w:iCs w:val="0"/>
            </w:rPr>
          </w:pPr>
          <w:hyperlink w:anchor="_Toc78483640" w:history="1">
            <w:r w:rsidR="00CA01F2" w:rsidRPr="00CA01F2">
              <w:rPr>
                <w:rStyle w:val="Hipervnculo"/>
                <w:rFonts w:eastAsia="Arial"/>
              </w:rPr>
              <w:t>1.2.</w:t>
            </w:r>
            <w:r w:rsidR="00CA01F2" w:rsidRPr="00CA01F2">
              <w:rPr>
                <w:rFonts w:eastAsiaTheme="minorEastAsia"/>
                <w:iCs w:val="0"/>
              </w:rPr>
              <w:tab/>
            </w:r>
            <w:r w:rsidR="00CA01F2" w:rsidRPr="00CA01F2">
              <w:rPr>
                <w:rStyle w:val="Hipervnculo"/>
                <w:rFonts w:eastAsia="Arial"/>
              </w:rPr>
              <w:t>Presupuesto asociado a las actividades que se implementarán en la entidad para llevar a cabo los ejercicios de rendición de cuentas.</w:t>
            </w:r>
            <w:r w:rsidR="00CA01F2" w:rsidRPr="00CA01F2">
              <w:rPr>
                <w:webHidden/>
              </w:rPr>
              <w:tab/>
            </w:r>
            <w:r w:rsidR="00CA01F2" w:rsidRPr="00CA01F2">
              <w:rPr>
                <w:webHidden/>
              </w:rPr>
              <w:fldChar w:fldCharType="begin"/>
            </w:r>
            <w:r w:rsidR="00CA01F2" w:rsidRPr="00CA01F2">
              <w:rPr>
                <w:webHidden/>
              </w:rPr>
              <w:instrText xml:space="preserve"> PAGEREF _Toc78483640 \h </w:instrText>
            </w:r>
            <w:r w:rsidR="00CA01F2" w:rsidRPr="00CA01F2">
              <w:rPr>
                <w:webHidden/>
              </w:rPr>
            </w:r>
            <w:r w:rsidR="00CA01F2" w:rsidRPr="00CA01F2">
              <w:rPr>
                <w:webHidden/>
              </w:rPr>
              <w:fldChar w:fldCharType="separate"/>
            </w:r>
            <w:r w:rsidR="00CA01F2" w:rsidRPr="00CA01F2">
              <w:rPr>
                <w:webHidden/>
              </w:rPr>
              <w:t>9</w:t>
            </w:r>
            <w:r w:rsidR="00CA01F2" w:rsidRPr="00CA01F2">
              <w:rPr>
                <w:webHidden/>
              </w:rPr>
              <w:fldChar w:fldCharType="end"/>
            </w:r>
          </w:hyperlink>
        </w:p>
        <w:p w14:paraId="0B73E408" w14:textId="15CFF6FB" w:rsidR="00CA01F2" w:rsidRPr="00CA01F2" w:rsidRDefault="005C5288" w:rsidP="00CA01F2">
          <w:pPr>
            <w:pStyle w:val="TDC1"/>
            <w:jc w:val="both"/>
            <w:rPr>
              <w:rFonts w:eastAsiaTheme="minorEastAsia"/>
              <w:bCs w:val="0"/>
              <w:kern w:val="0"/>
              <w:lang w:eastAsia="es-CO"/>
            </w:rPr>
          </w:pPr>
          <w:hyperlink w:anchor="_Toc78483641" w:history="1">
            <w:r w:rsidR="00CA01F2" w:rsidRPr="00CA01F2">
              <w:rPr>
                <w:rStyle w:val="Hipervnculo"/>
              </w:rPr>
              <w:t>2.</w:t>
            </w:r>
            <w:r w:rsidR="00CA01F2" w:rsidRPr="00CA01F2">
              <w:rPr>
                <w:rFonts w:eastAsiaTheme="minorEastAsia"/>
                <w:bCs w:val="0"/>
                <w:kern w:val="0"/>
                <w:lang w:eastAsia="es-CO"/>
              </w:rPr>
              <w:tab/>
            </w:r>
            <w:r w:rsidR="00CA01F2" w:rsidRPr="00CA01F2">
              <w:rPr>
                <w:rStyle w:val="Hipervnculo"/>
              </w:rPr>
              <w:t>ELEMENTOS DE LA RENDICIÓN DE CUENTAS</w:t>
            </w:r>
            <w:r w:rsidR="00CA01F2" w:rsidRPr="00CA01F2">
              <w:rPr>
                <w:webHidden/>
              </w:rPr>
              <w:tab/>
            </w:r>
            <w:r w:rsidR="00CA01F2" w:rsidRPr="00CA01F2">
              <w:rPr>
                <w:webHidden/>
              </w:rPr>
              <w:fldChar w:fldCharType="begin"/>
            </w:r>
            <w:r w:rsidR="00CA01F2" w:rsidRPr="00CA01F2">
              <w:rPr>
                <w:webHidden/>
              </w:rPr>
              <w:instrText xml:space="preserve"> PAGEREF _Toc78483641 \h </w:instrText>
            </w:r>
            <w:r w:rsidR="00CA01F2" w:rsidRPr="00CA01F2">
              <w:rPr>
                <w:webHidden/>
              </w:rPr>
            </w:r>
            <w:r w:rsidR="00CA01F2" w:rsidRPr="00CA01F2">
              <w:rPr>
                <w:webHidden/>
              </w:rPr>
              <w:fldChar w:fldCharType="separate"/>
            </w:r>
            <w:r w:rsidR="00CA01F2" w:rsidRPr="00CA01F2">
              <w:rPr>
                <w:webHidden/>
              </w:rPr>
              <w:t>10</w:t>
            </w:r>
            <w:r w:rsidR="00CA01F2" w:rsidRPr="00CA01F2">
              <w:rPr>
                <w:webHidden/>
              </w:rPr>
              <w:fldChar w:fldCharType="end"/>
            </w:r>
          </w:hyperlink>
        </w:p>
        <w:p w14:paraId="77FFC95D" w14:textId="2686E2D4" w:rsidR="00CA01F2" w:rsidRPr="00CA01F2" w:rsidRDefault="005C5288" w:rsidP="00CA01F2">
          <w:pPr>
            <w:pStyle w:val="TDC1"/>
            <w:jc w:val="both"/>
            <w:rPr>
              <w:rFonts w:eastAsiaTheme="minorEastAsia"/>
              <w:bCs w:val="0"/>
              <w:kern w:val="0"/>
              <w:lang w:eastAsia="es-CO"/>
            </w:rPr>
          </w:pPr>
          <w:hyperlink w:anchor="_Toc78483642" w:history="1">
            <w:r w:rsidR="00CA01F2" w:rsidRPr="00CA01F2">
              <w:rPr>
                <w:rStyle w:val="Hipervnculo"/>
              </w:rPr>
              <w:t>3.</w:t>
            </w:r>
            <w:r w:rsidR="00CA01F2" w:rsidRPr="00CA01F2">
              <w:rPr>
                <w:rFonts w:eastAsiaTheme="minorEastAsia"/>
                <w:bCs w:val="0"/>
                <w:kern w:val="0"/>
                <w:lang w:eastAsia="es-CO"/>
              </w:rPr>
              <w:tab/>
            </w:r>
            <w:r w:rsidR="00CA01F2" w:rsidRPr="00CA01F2">
              <w:rPr>
                <w:rStyle w:val="Hipervnculo"/>
              </w:rPr>
              <w:t>RUTA METODOLÓGICA PARA LA RENDICIÓN DE CUENTAS</w:t>
            </w:r>
            <w:r w:rsidR="00CA01F2" w:rsidRPr="00CA01F2">
              <w:rPr>
                <w:webHidden/>
              </w:rPr>
              <w:tab/>
            </w:r>
            <w:r w:rsidR="00CA01F2" w:rsidRPr="00CA01F2">
              <w:rPr>
                <w:webHidden/>
              </w:rPr>
              <w:fldChar w:fldCharType="begin"/>
            </w:r>
            <w:r w:rsidR="00CA01F2" w:rsidRPr="00CA01F2">
              <w:rPr>
                <w:webHidden/>
              </w:rPr>
              <w:instrText xml:space="preserve"> PAGEREF _Toc78483642 \h </w:instrText>
            </w:r>
            <w:r w:rsidR="00CA01F2" w:rsidRPr="00CA01F2">
              <w:rPr>
                <w:webHidden/>
              </w:rPr>
            </w:r>
            <w:r w:rsidR="00CA01F2" w:rsidRPr="00CA01F2">
              <w:rPr>
                <w:webHidden/>
              </w:rPr>
              <w:fldChar w:fldCharType="separate"/>
            </w:r>
            <w:r w:rsidR="00CA01F2" w:rsidRPr="00CA01F2">
              <w:rPr>
                <w:webHidden/>
              </w:rPr>
              <w:t>11</w:t>
            </w:r>
            <w:r w:rsidR="00CA01F2" w:rsidRPr="00CA01F2">
              <w:rPr>
                <w:webHidden/>
              </w:rPr>
              <w:fldChar w:fldCharType="end"/>
            </w:r>
          </w:hyperlink>
        </w:p>
        <w:p w14:paraId="2ADCF969" w14:textId="0956E0BD" w:rsidR="00CA01F2" w:rsidRPr="00CA01F2" w:rsidRDefault="005C5288" w:rsidP="00CA01F2">
          <w:pPr>
            <w:pStyle w:val="TDC2"/>
            <w:jc w:val="both"/>
            <w:rPr>
              <w:rFonts w:eastAsiaTheme="minorEastAsia"/>
              <w:iCs w:val="0"/>
            </w:rPr>
          </w:pPr>
          <w:hyperlink w:anchor="_Toc78483643" w:history="1">
            <w:r w:rsidR="00CA01F2" w:rsidRPr="00CA01F2">
              <w:rPr>
                <w:rStyle w:val="Hipervnculo"/>
                <w:rFonts w:eastAsia="Arial"/>
              </w:rPr>
              <w:t>3.1.</w:t>
            </w:r>
            <w:r w:rsidR="00CA01F2" w:rsidRPr="00CA01F2">
              <w:rPr>
                <w:rFonts w:eastAsiaTheme="minorEastAsia"/>
                <w:iCs w:val="0"/>
              </w:rPr>
              <w:tab/>
            </w:r>
            <w:r w:rsidR="00CA01F2" w:rsidRPr="00CA01F2">
              <w:rPr>
                <w:rStyle w:val="Hipervnculo"/>
                <w:rFonts w:eastAsia="Arial"/>
              </w:rPr>
              <w:t>Aprestamiento</w:t>
            </w:r>
            <w:r w:rsidR="00CA01F2" w:rsidRPr="00CA01F2">
              <w:rPr>
                <w:webHidden/>
              </w:rPr>
              <w:tab/>
            </w:r>
            <w:r w:rsidR="00CA01F2" w:rsidRPr="00CA01F2">
              <w:rPr>
                <w:webHidden/>
              </w:rPr>
              <w:fldChar w:fldCharType="begin"/>
            </w:r>
            <w:r w:rsidR="00CA01F2" w:rsidRPr="00CA01F2">
              <w:rPr>
                <w:webHidden/>
              </w:rPr>
              <w:instrText xml:space="preserve"> PAGEREF _Toc78483643 \h </w:instrText>
            </w:r>
            <w:r w:rsidR="00CA01F2" w:rsidRPr="00CA01F2">
              <w:rPr>
                <w:webHidden/>
              </w:rPr>
            </w:r>
            <w:r w:rsidR="00CA01F2" w:rsidRPr="00CA01F2">
              <w:rPr>
                <w:webHidden/>
              </w:rPr>
              <w:fldChar w:fldCharType="separate"/>
            </w:r>
            <w:r w:rsidR="00CA01F2" w:rsidRPr="00CA01F2">
              <w:rPr>
                <w:webHidden/>
              </w:rPr>
              <w:t>11</w:t>
            </w:r>
            <w:r w:rsidR="00CA01F2" w:rsidRPr="00CA01F2">
              <w:rPr>
                <w:webHidden/>
              </w:rPr>
              <w:fldChar w:fldCharType="end"/>
            </w:r>
          </w:hyperlink>
        </w:p>
        <w:p w14:paraId="7A58F819" w14:textId="29421514" w:rsidR="00CA01F2" w:rsidRPr="00CA01F2" w:rsidRDefault="005C5288" w:rsidP="00CA01F2">
          <w:pPr>
            <w:pStyle w:val="TDC3"/>
            <w:tabs>
              <w:tab w:val="right" w:leader="dot" w:pos="9204"/>
            </w:tabs>
            <w:jc w:val="both"/>
            <w:rPr>
              <w:rFonts w:ascii="Arial" w:eastAsiaTheme="minorEastAsia" w:hAnsi="Arial" w:cs="Arial"/>
              <w:noProof/>
              <w:sz w:val="22"/>
              <w:szCs w:val="22"/>
              <w:lang w:val="es-CO"/>
            </w:rPr>
          </w:pPr>
          <w:hyperlink w:anchor="_Toc78483644" w:history="1">
            <w:r w:rsidR="00CA01F2" w:rsidRPr="00CA01F2">
              <w:rPr>
                <w:rStyle w:val="Hipervnculo"/>
                <w:rFonts w:ascii="Arial" w:eastAsia="Arial" w:hAnsi="Arial" w:cs="Arial"/>
                <w:noProof/>
                <w:sz w:val="22"/>
                <w:szCs w:val="22"/>
              </w:rPr>
              <w:t>3.1.1 Equipo que lidera el proceso de rendición de cuentas</w:t>
            </w:r>
            <w:r w:rsidR="00CA01F2" w:rsidRPr="00CA01F2">
              <w:rPr>
                <w:rFonts w:ascii="Arial" w:hAnsi="Arial" w:cs="Arial"/>
                <w:noProof/>
                <w:webHidden/>
                <w:sz w:val="22"/>
                <w:szCs w:val="22"/>
              </w:rPr>
              <w:tab/>
            </w:r>
            <w:r w:rsidR="00CA01F2" w:rsidRPr="00CA01F2">
              <w:rPr>
                <w:rFonts w:ascii="Arial" w:hAnsi="Arial" w:cs="Arial"/>
                <w:noProof/>
                <w:webHidden/>
                <w:sz w:val="22"/>
                <w:szCs w:val="22"/>
              </w:rPr>
              <w:fldChar w:fldCharType="begin"/>
            </w:r>
            <w:r w:rsidR="00CA01F2" w:rsidRPr="00CA01F2">
              <w:rPr>
                <w:rFonts w:ascii="Arial" w:hAnsi="Arial" w:cs="Arial"/>
                <w:noProof/>
                <w:webHidden/>
                <w:sz w:val="22"/>
                <w:szCs w:val="22"/>
              </w:rPr>
              <w:instrText xml:space="preserve"> PAGEREF _Toc78483644 \h </w:instrText>
            </w:r>
            <w:r w:rsidR="00CA01F2" w:rsidRPr="00CA01F2">
              <w:rPr>
                <w:rFonts w:ascii="Arial" w:hAnsi="Arial" w:cs="Arial"/>
                <w:noProof/>
                <w:webHidden/>
                <w:sz w:val="22"/>
                <w:szCs w:val="22"/>
              </w:rPr>
            </w:r>
            <w:r w:rsidR="00CA01F2" w:rsidRPr="00CA01F2">
              <w:rPr>
                <w:rFonts w:ascii="Arial" w:hAnsi="Arial" w:cs="Arial"/>
                <w:noProof/>
                <w:webHidden/>
                <w:sz w:val="22"/>
                <w:szCs w:val="22"/>
              </w:rPr>
              <w:fldChar w:fldCharType="separate"/>
            </w:r>
            <w:r w:rsidR="00CA01F2" w:rsidRPr="00CA01F2">
              <w:rPr>
                <w:rFonts w:ascii="Arial" w:hAnsi="Arial" w:cs="Arial"/>
                <w:noProof/>
                <w:webHidden/>
                <w:sz w:val="22"/>
                <w:szCs w:val="22"/>
              </w:rPr>
              <w:t>12</w:t>
            </w:r>
            <w:r w:rsidR="00CA01F2" w:rsidRPr="00CA01F2">
              <w:rPr>
                <w:rFonts w:ascii="Arial" w:hAnsi="Arial" w:cs="Arial"/>
                <w:noProof/>
                <w:webHidden/>
                <w:sz w:val="22"/>
                <w:szCs w:val="22"/>
              </w:rPr>
              <w:fldChar w:fldCharType="end"/>
            </w:r>
          </w:hyperlink>
        </w:p>
        <w:p w14:paraId="4232D7CF" w14:textId="1F2220E3" w:rsidR="00CA01F2" w:rsidRPr="00CA01F2" w:rsidRDefault="005C5288" w:rsidP="00CA01F2">
          <w:pPr>
            <w:pStyle w:val="TDC3"/>
            <w:tabs>
              <w:tab w:val="right" w:leader="dot" w:pos="9204"/>
            </w:tabs>
            <w:jc w:val="both"/>
            <w:rPr>
              <w:rFonts w:ascii="Arial" w:eastAsiaTheme="minorEastAsia" w:hAnsi="Arial" w:cs="Arial"/>
              <w:noProof/>
              <w:sz w:val="22"/>
              <w:szCs w:val="22"/>
              <w:lang w:val="es-CO"/>
            </w:rPr>
          </w:pPr>
          <w:hyperlink w:anchor="_Toc78483645" w:history="1">
            <w:r w:rsidR="00CA01F2" w:rsidRPr="00CA01F2">
              <w:rPr>
                <w:rStyle w:val="Hipervnculo"/>
                <w:rFonts w:ascii="Arial" w:eastAsia="Arial" w:hAnsi="Arial" w:cs="Arial"/>
                <w:noProof/>
                <w:sz w:val="22"/>
                <w:szCs w:val="22"/>
              </w:rPr>
              <w:t>3.1.2 Grupos de valor, grupos de interés y partes interesadas</w:t>
            </w:r>
            <w:r w:rsidR="00CA01F2" w:rsidRPr="00CA01F2">
              <w:rPr>
                <w:rFonts w:ascii="Arial" w:hAnsi="Arial" w:cs="Arial"/>
                <w:noProof/>
                <w:webHidden/>
                <w:sz w:val="22"/>
                <w:szCs w:val="22"/>
              </w:rPr>
              <w:tab/>
            </w:r>
            <w:r w:rsidR="00CA01F2" w:rsidRPr="00CA01F2">
              <w:rPr>
                <w:rFonts w:ascii="Arial" w:hAnsi="Arial" w:cs="Arial"/>
                <w:noProof/>
                <w:webHidden/>
                <w:sz w:val="22"/>
                <w:szCs w:val="22"/>
              </w:rPr>
              <w:fldChar w:fldCharType="begin"/>
            </w:r>
            <w:r w:rsidR="00CA01F2" w:rsidRPr="00CA01F2">
              <w:rPr>
                <w:rFonts w:ascii="Arial" w:hAnsi="Arial" w:cs="Arial"/>
                <w:noProof/>
                <w:webHidden/>
                <w:sz w:val="22"/>
                <w:szCs w:val="22"/>
              </w:rPr>
              <w:instrText xml:space="preserve"> PAGEREF _Toc78483645 \h </w:instrText>
            </w:r>
            <w:r w:rsidR="00CA01F2" w:rsidRPr="00CA01F2">
              <w:rPr>
                <w:rFonts w:ascii="Arial" w:hAnsi="Arial" w:cs="Arial"/>
                <w:noProof/>
                <w:webHidden/>
                <w:sz w:val="22"/>
                <w:szCs w:val="22"/>
              </w:rPr>
            </w:r>
            <w:r w:rsidR="00CA01F2" w:rsidRPr="00CA01F2">
              <w:rPr>
                <w:rFonts w:ascii="Arial" w:hAnsi="Arial" w:cs="Arial"/>
                <w:noProof/>
                <w:webHidden/>
                <w:sz w:val="22"/>
                <w:szCs w:val="22"/>
              </w:rPr>
              <w:fldChar w:fldCharType="separate"/>
            </w:r>
            <w:r w:rsidR="00CA01F2" w:rsidRPr="00CA01F2">
              <w:rPr>
                <w:rFonts w:ascii="Arial" w:hAnsi="Arial" w:cs="Arial"/>
                <w:noProof/>
                <w:webHidden/>
                <w:sz w:val="22"/>
                <w:szCs w:val="22"/>
              </w:rPr>
              <w:t>12</w:t>
            </w:r>
            <w:r w:rsidR="00CA01F2" w:rsidRPr="00CA01F2">
              <w:rPr>
                <w:rFonts w:ascii="Arial" w:hAnsi="Arial" w:cs="Arial"/>
                <w:noProof/>
                <w:webHidden/>
                <w:sz w:val="22"/>
                <w:szCs w:val="22"/>
              </w:rPr>
              <w:fldChar w:fldCharType="end"/>
            </w:r>
          </w:hyperlink>
        </w:p>
        <w:p w14:paraId="338DFC70" w14:textId="6DE108AB" w:rsidR="00CA01F2" w:rsidRPr="00CA01F2" w:rsidRDefault="005C5288" w:rsidP="00CA01F2">
          <w:pPr>
            <w:pStyle w:val="TDC2"/>
            <w:jc w:val="both"/>
            <w:rPr>
              <w:rFonts w:eastAsiaTheme="minorEastAsia"/>
              <w:iCs w:val="0"/>
            </w:rPr>
          </w:pPr>
          <w:hyperlink w:anchor="_Toc78483646" w:history="1">
            <w:r w:rsidR="00CA01F2" w:rsidRPr="00CA01F2">
              <w:rPr>
                <w:rStyle w:val="Hipervnculo"/>
                <w:rFonts w:eastAsia="Arial"/>
              </w:rPr>
              <w:t>3.2.</w:t>
            </w:r>
            <w:r w:rsidR="00CA01F2" w:rsidRPr="00CA01F2">
              <w:rPr>
                <w:rFonts w:eastAsiaTheme="minorEastAsia"/>
                <w:iCs w:val="0"/>
              </w:rPr>
              <w:tab/>
            </w:r>
            <w:r w:rsidR="00CA01F2" w:rsidRPr="00CA01F2">
              <w:rPr>
                <w:rStyle w:val="Hipervnculo"/>
                <w:rFonts w:eastAsia="Arial"/>
              </w:rPr>
              <w:t>Diseño</w:t>
            </w:r>
            <w:r w:rsidR="00CA01F2" w:rsidRPr="00CA01F2">
              <w:rPr>
                <w:webHidden/>
              </w:rPr>
              <w:tab/>
            </w:r>
            <w:r w:rsidR="00CA01F2" w:rsidRPr="00CA01F2">
              <w:rPr>
                <w:webHidden/>
              </w:rPr>
              <w:fldChar w:fldCharType="begin"/>
            </w:r>
            <w:r w:rsidR="00CA01F2" w:rsidRPr="00CA01F2">
              <w:rPr>
                <w:webHidden/>
              </w:rPr>
              <w:instrText xml:space="preserve"> PAGEREF _Toc78483646 \h </w:instrText>
            </w:r>
            <w:r w:rsidR="00CA01F2" w:rsidRPr="00CA01F2">
              <w:rPr>
                <w:webHidden/>
              </w:rPr>
            </w:r>
            <w:r w:rsidR="00CA01F2" w:rsidRPr="00CA01F2">
              <w:rPr>
                <w:webHidden/>
              </w:rPr>
              <w:fldChar w:fldCharType="separate"/>
            </w:r>
            <w:r w:rsidR="00CA01F2" w:rsidRPr="00CA01F2">
              <w:rPr>
                <w:webHidden/>
              </w:rPr>
              <w:t>13</w:t>
            </w:r>
            <w:r w:rsidR="00CA01F2" w:rsidRPr="00CA01F2">
              <w:rPr>
                <w:webHidden/>
              </w:rPr>
              <w:fldChar w:fldCharType="end"/>
            </w:r>
          </w:hyperlink>
        </w:p>
        <w:p w14:paraId="691A1F2A" w14:textId="12C3BD8F" w:rsidR="00CA01F2" w:rsidRPr="00CA01F2" w:rsidRDefault="005C5288" w:rsidP="00CA01F2">
          <w:pPr>
            <w:pStyle w:val="TDC2"/>
            <w:jc w:val="both"/>
            <w:rPr>
              <w:rFonts w:eastAsiaTheme="minorEastAsia"/>
              <w:iCs w:val="0"/>
            </w:rPr>
          </w:pPr>
          <w:hyperlink w:anchor="_Toc78483647" w:history="1">
            <w:r w:rsidR="00CA01F2" w:rsidRPr="00CA01F2">
              <w:rPr>
                <w:rStyle w:val="Hipervnculo"/>
                <w:rFonts w:eastAsia="Arial"/>
              </w:rPr>
              <w:t>3.3.</w:t>
            </w:r>
            <w:r w:rsidR="00CA01F2" w:rsidRPr="00CA01F2">
              <w:rPr>
                <w:rFonts w:eastAsiaTheme="minorEastAsia"/>
                <w:iCs w:val="0"/>
              </w:rPr>
              <w:tab/>
            </w:r>
            <w:r w:rsidR="00CA01F2" w:rsidRPr="00CA01F2">
              <w:rPr>
                <w:rStyle w:val="Hipervnculo"/>
                <w:rFonts w:eastAsia="Arial"/>
              </w:rPr>
              <w:t>Preparación</w:t>
            </w:r>
            <w:r w:rsidR="00CA01F2" w:rsidRPr="00CA01F2">
              <w:rPr>
                <w:webHidden/>
              </w:rPr>
              <w:tab/>
            </w:r>
            <w:r w:rsidR="00CA01F2" w:rsidRPr="00CA01F2">
              <w:rPr>
                <w:webHidden/>
              </w:rPr>
              <w:fldChar w:fldCharType="begin"/>
            </w:r>
            <w:r w:rsidR="00CA01F2" w:rsidRPr="00CA01F2">
              <w:rPr>
                <w:webHidden/>
              </w:rPr>
              <w:instrText xml:space="preserve"> PAGEREF _Toc78483647 \h </w:instrText>
            </w:r>
            <w:r w:rsidR="00CA01F2" w:rsidRPr="00CA01F2">
              <w:rPr>
                <w:webHidden/>
              </w:rPr>
            </w:r>
            <w:r w:rsidR="00CA01F2" w:rsidRPr="00CA01F2">
              <w:rPr>
                <w:webHidden/>
              </w:rPr>
              <w:fldChar w:fldCharType="separate"/>
            </w:r>
            <w:r w:rsidR="00CA01F2" w:rsidRPr="00CA01F2">
              <w:rPr>
                <w:webHidden/>
              </w:rPr>
              <w:t>14</w:t>
            </w:r>
            <w:r w:rsidR="00CA01F2" w:rsidRPr="00CA01F2">
              <w:rPr>
                <w:webHidden/>
              </w:rPr>
              <w:fldChar w:fldCharType="end"/>
            </w:r>
          </w:hyperlink>
        </w:p>
        <w:p w14:paraId="2A2A7D3A" w14:textId="4B816829" w:rsidR="00CA01F2" w:rsidRPr="00CA01F2" w:rsidRDefault="005C5288" w:rsidP="00CA01F2">
          <w:pPr>
            <w:pStyle w:val="TDC2"/>
            <w:jc w:val="both"/>
            <w:rPr>
              <w:rFonts w:eastAsiaTheme="minorEastAsia"/>
              <w:iCs w:val="0"/>
            </w:rPr>
          </w:pPr>
          <w:hyperlink w:anchor="_Toc78483648" w:history="1">
            <w:r w:rsidR="00CA01F2" w:rsidRPr="00CA01F2">
              <w:rPr>
                <w:rStyle w:val="Hipervnculo"/>
                <w:rFonts w:eastAsia="Arial"/>
              </w:rPr>
              <w:t>3.4.</w:t>
            </w:r>
            <w:r w:rsidR="00CA01F2" w:rsidRPr="00CA01F2">
              <w:rPr>
                <w:rFonts w:eastAsiaTheme="minorEastAsia"/>
                <w:iCs w:val="0"/>
              </w:rPr>
              <w:tab/>
            </w:r>
            <w:r w:rsidR="00CA01F2" w:rsidRPr="00CA01F2">
              <w:rPr>
                <w:rStyle w:val="Hipervnculo"/>
                <w:rFonts w:eastAsia="Arial"/>
              </w:rPr>
              <w:t>Ejecución</w:t>
            </w:r>
            <w:r w:rsidR="00CA01F2" w:rsidRPr="00CA01F2">
              <w:rPr>
                <w:webHidden/>
              </w:rPr>
              <w:tab/>
            </w:r>
            <w:r w:rsidR="00CA01F2" w:rsidRPr="00CA01F2">
              <w:rPr>
                <w:webHidden/>
              </w:rPr>
              <w:fldChar w:fldCharType="begin"/>
            </w:r>
            <w:r w:rsidR="00CA01F2" w:rsidRPr="00CA01F2">
              <w:rPr>
                <w:webHidden/>
              </w:rPr>
              <w:instrText xml:space="preserve"> PAGEREF _Toc78483648 \h </w:instrText>
            </w:r>
            <w:r w:rsidR="00CA01F2" w:rsidRPr="00CA01F2">
              <w:rPr>
                <w:webHidden/>
              </w:rPr>
            </w:r>
            <w:r w:rsidR="00CA01F2" w:rsidRPr="00CA01F2">
              <w:rPr>
                <w:webHidden/>
              </w:rPr>
              <w:fldChar w:fldCharType="separate"/>
            </w:r>
            <w:r w:rsidR="00CA01F2" w:rsidRPr="00CA01F2">
              <w:rPr>
                <w:webHidden/>
              </w:rPr>
              <w:t>14</w:t>
            </w:r>
            <w:r w:rsidR="00CA01F2" w:rsidRPr="00CA01F2">
              <w:rPr>
                <w:webHidden/>
              </w:rPr>
              <w:fldChar w:fldCharType="end"/>
            </w:r>
          </w:hyperlink>
        </w:p>
        <w:p w14:paraId="3B12F449" w14:textId="2FFA4B61" w:rsidR="00CA01F2" w:rsidRPr="00CA01F2" w:rsidRDefault="005C5288" w:rsidP="00CA01F2">
          <w:pPr>
            <w:pStyle w:val="TDC2"/>
            <w:jc w:val="both"/>
            <w:rPr>
              <w:rFonts w:eastAsiaTheme="minorEastAsia"/>
              <w:iCs w:val="0"/>
            </w:rPr>
          </w:pPr>
          <w:hyperlink w:anchor="_Toc78483649" w:history="1">
            <w:r w:rsidR="00CA01F2" w:rsidRPr="00CA01F2">
              <w:rPr>
                <w:rStyle w:val="Hipervnculo"/>
                <w:rFonts w:eastAsia="Arial"/>
              </w:rPr>
              <w:t>3.5.</w:t>
            </w:r>
            <w:r w:rsidR="00CA01F2" w:rsidRPr="00CA01F2">
              <w:rPr>
                <w:rFonts w:eastAsiaTheme="minorEastAsia"/>
                <w:iCs w:val="0"/>
              </w:rPr>
              <w:tab/>
            </w:r>
            <w:r w:rsidR="00CA01F2" w:rsidRPr="00CA01F2">
              <w:rPr>
                <w:rStyle w:val="Hipervnculo"/>
                <w:rFonts w:eastAsia="Arial"/>
              </w:rPr>
              <w:t>Seguimiento y evaluación</w:t>
            </w:r>
            <w:r w:rsidR="00CA01F2" w:rsidRPr="00CA01F2">
              <w:rPr>
                <w:webHidden/>
              </w:rPr>
              <w:tab/>
            </w:r>
            <w:r w:rsidR="00CA01F2" w:rsidRPr="00CA01F2">
              <w:rPr>
                <w:webHidden/>
              </w:rPr>
              <w:fldChar w:fldCharType="begin"/>
            </w:r>
            <w:r w:rsidR="00CA01F2" w:rsidRPr="00CA01F2">
              <w:rPr>
                <w:webHidden/>
              </w:rPr>
              <w:instrText xml:space="preserve"> PAGEREF _Toc78483649 \h </w:instrText>
            </w:r>
            <w:r w:rsidR="00CA01F2" w:rsidRPr="00CA01F2">
              <w:rPr>
                <w:webHidden/>
              </w:rPr>
            </w:r>
            <w:r w:rsidR="00CA01F2" w:rsidRPr="00CA01F2">
              <w:rPr>
                <w:webHidden/>
              </w:rPr>
              <w:fldChar w:fldCharType="separate"/>
            </w:r>
            <w:r w:rsidR="00CA01F2" w:rsidRPr="00CA01F2">
              <w:rPr>
                <w:webHidden/>
              </w:rPr>
              <w:t>14</w:t>
            </w:r>
            <w:r w:rsidR="00CA01F2" w:rsidRPr="00CA01F2">
              <w:rPr>
                <w:webHidden/>
              </w:rPr>
              <w:fldChar w:fldCharType="end"/>
            </w:r>
          </w:hyperlink>
        </w:p>
        <w:p w14:paraId="613262AB" w14:textId="6E1FF05E" w:rsidR="00CA01F2" w:rsidRPr="00CA01F2" w:rsidRDefault="005C5288" w:rsidP="00CA01F2">
          <w:pPr>
            <w:pStyle w:val="TDC1"/>
            <w:jc w:val="both"/>
            <w:rPr>
              <w:rFonts w:eastAsiaTheme="minorEastAsia"/>
              <w:bCs w:val="0"/>
              <w:kern w:val="0"/>
              <w:lang w:eastAsia="es-CO"/>
            </w:rPr>
          </w:pPr>
          <w:hyperlink w:anchor="_Toc78483650" w:history="1">
            <w:r w:rsidR="00CA01F2" w:rsidRPr="00CA01F2">
              <w:rPr>
                <w:rStyle w:val="Hipervnculo"/>
              </w:rPr>
              <w:t>4.</w:t>
            </w:r>
            <w:r w:rsidR="00CA01F2" w:rsidRPr="00CA01F2">
              <w:rPr>
                <w:rFonts w:eastAsiaTheme="minorEastAsia"/>
                <w:bCs w:val="0"/>
                <w:kern w:val="0"/>
                <w:lang w:eastAsia="es-CO"/>
              </w:rPr>
              <w:tab/>
            </w:r>
            <w:r w:rsidR="00CA01F2" w:rsidRPr="00CA01F2">
              <w:rPr>
                <w:rStyle w:val="Hipervnculo"/>
              </w:rPr>
              <w:t>NORMATIVIDAD</w:t>
            </w:r>
            <w:r w:rsidR="00CA01F2" w:rsidRPr="00CA01F2">
              <w:rPr>
                <w:webHidden/>
              </w:rPr>
              <w:tab/>
            </w:r>
            <w:r w:rsidR="00CA01F2" w:rsidRPr="00CA01F2">
              <w:rPr>
                <w:webHidden/>
              </w:rPr>
              <w:fldChar w:fldCharType="begin"/>
            </w:r>
            <w:r w:rsidR="00CA01F2" w:rsidRPr="00CA01F2">
              <w:rPr>
                <w:webHidden/>
              </w:rPr>
              <w:instrText xml:space="preserve"> PAGEREF _Toc78483650 \h </w:instrText>
            </w:r>
            <w:r w:rsidR="00CA01F2" w:rsidRPr="00CA01F2">
              <w:rPr>
                <w:webHidden/>
              </w:rPr>
            </w:r>
            <w:r w:rsidR="00CA01F2" w:rsidRPr="00CA01F2">
              <w:rPr>
                <w:webHidden/>
              </w:rPr>
              <w:fldChar w:fldCharType="separate"/>
            </w:r>
            <w:r w:rsidR="00CA01F2" w:rsidRPr="00CA01F2">
              <w:rPr>
                <w:webHidden/>
              </w:rPr>
              <w:t>15</w:t>
            </w:r>
            <w:r w:rsidR="00CA01F2" w:rsidRPr="00CA01F2">
              <w:rPr>
                <w:webHidden/>
              </w:rPr>
              <w:fldChar w:fldCharType="end"/>
            </w:r>
          </w:hyperlink>
        </w:p>
        <w:p w14:paraId="4F666D90" w14:textId="65002544" w:rsidR="00327289" w:rsidRDefault="006227DC">
          <w:pPr>
            <w:rPr>
              <w:rFonts w:ascii="Arial" w:eastAsia="Arial" w:hAnsi="Arial" w:cs="Arial"/>
              <w:sz w:val="22"/>
              <w:szCs w:val="22"/>
            </w:rPr>
          </w:pPr>
          <w:r w:rsidRPr="00CA01F2">
            <w:fldChar w:fldCharType="end"/>
          </w:r>
        </w:p>
      </w:sdtContent>
    </w:sdt>
    <w:p w14:paraId="2785FBB0" w14:textId="77777777" w:rsidR="00327289" w:rsidRDefault="00327289">
      <w:pPr>
        <w:jc w:val="center"/>
        <w:rPr>
          <w:rFonts w:ascii="Arial" w:eastAsia="Arial" w:hAnsi="Arial" w:cs="Arial"/>
          <w:sz w:val="22"/>
          <w:szCs w:val="22"/>
        </w:rPr>
      </w:pPr>
    </w:p>
    <w:p w14:paraId="5A1568A0" w14:textId="77777777" w:rsidR="00327289" w:rsidRDefault="00327289">
      <w:pPr>
        <w:jc w:val="center"/>
        <w:rPr>
          <w:rFonts w:ascii="Arial" w:eastAsia="Arial" w:hAnsi="Arial" w:cs="Arial"/>
          <w:sz w:val="22"/>
          <w:szCs w:val="22"/>
        </w:rPr>
      </w:pPr>
    </w:p>
    <w:p w14:paraId="025BAC3A" w14:textId="77777777" w:rsidR="00327289" w:rsidRDefault="00327289">
      <w:pPr>
        <w:jc w:val="center"/>
        <w:rPr>
          <w:rFonts w:ascii="Arial" w:eastAsia="Arial" w:hAnsi="Arial" w:cs="Arial"/>
          <w:sz w:val="22"/>
          <w:szCs w:val="22"/>
        </w:rPr>
      </w:pPr>
    </w:p>
    <w:p w14:paraId="11EAE857" w14:textId="77777777" w:rsidR="00327289" w:rsidRDefault="00327289">
      <w:pPr>
        <w:jc w:val="center"/>
        <w:rPr>
          <w:rFonts w:ascii="Arial" w:eastAsia="Arial" w:hAnsi="Arial" w:cs="Arial"/>
          <w:sz w:val="22"/>
          <w:szCs w:val="22"/>
        </w:rPr>
      </w:pPr>
    </w:p>
    <w:p w14:paraId="7BE01F15" w14:textId="77777777" w:rsidR="00327289" w:rsidRDefault="00327289">
      <w:pPr>
        <w:jc w:val="center"/>
        <w:rPr>
          <w:rFonts w:ascii="Arial" w:eastAsia="Arial" w:hAnsi="Arial" w:cs="Arial"/>
          <w:sz w:val="22"/>
          <w:szCs w:val="22"/>
        </w:rPr>
      </w:pPr>
    </w:p>
    <w:p w14:paraId="6015526D" w14:textId="77777777" w:rsidR="00327289" w:rsidRDefault="00327289">
      <w:pPr>
        <w:jc w:val="center"/>
        <w:rPr>
          <w:rFonts w:ascii="Arial" w:eastAsia="Arial" w:hAnsi="Arial" w:cs="Arial"/>
          <w:sz w:val="22"/>
          <w:szCs w:val="22"/>
        </w:rPr>
      </w:pPr>
    </w:p>
    <w:p w14:paraId="2D080BB8" w14:textId="77777777" w:rsidR="00327289" w:rsidRDefault="00327289">
      <w:pPr>
        <w:jc w:val="center"/>
        <w:rPr>
          <w:rFonts w:ascii="Arial" w:eastAsia="Arial" w:hAnsi="Arial" w:cs="Arial"/>
          <w:sz w:val="22"/>
          <w:szCs w:val="22"/>
        </w:rPr>
      </w:pPr>
    </w:p>
    <w:p w14:paraId="28B66FCE" w14:textId="77777777" w:rsidR="00327289" w:rsidRDefault="00327289">
      <w:pPr>
        <w:jc w:val="center"/>
        <w:rPr>
          <w:rFonts w:ascii="Arial" w:eastAsia="Arial" w:hAnsi="Arial" w:cs="Arial"/>
          <w:sz w:val="22"/>
          <w:szCs w:val="22"/>
        </w:rPr>
      </w:pPr>
    </w:p>
    <w:p w14:paraId="79EC0321" w14:textId="283DF63C" w:rsidR="00327289" w:rsidRDefault="00327289">
      <w:pPr>
        <w:jc w:val="center"/>
        <w:rPr>
          <w:rFonts w:ascii="Arial" w:eastAsia="Arial" w:hAnsi="Arial" w:cs="Arial"/>
          <w:sz w:val="22"/>
          <w:szCs w:val="22"/>
        </w:rPr>
      </w:pPr>
    </w:p>
    <w:p w14:paraId="6C1C13EA" w14:textId="77777777" w:rsidR="00CA01F2" w:rsidRDefault="00CA01F2">
      <w:pPr>
        <w:jc w:val="center"/>
        <w:rPr>
          <w:rFonts w:ascii="Arial" w:eastAsia="Arial" w:hAnsi="Arial" w:cs="Arial"/>
          <w:sz w:val="22"/>
          <w:szCs w:val="22"/>
        </w:rPr>
      </w:pPr>
    </w:p>
    <w:p w14:paraId="6E410C43" w14:textId="77777777" w:rsidR="00327289" w:rsidRDefault="00327289">
      <w:pPr>
        <w:jc w:val="center"/>
        <w:rPr>
          <w:rFonts w:ascii="Arial" w:eastAsia="Arial" w:hAnsi="Arial" w:cs="Arial"/>
          <w:sz w:val="22"/>
          <w:szCs w:val="22"/>
        </w:rPr>
      </w:pPr>
    </w:p>
    <w:p w14:paraId="5080492B" w14:textId="77777777" w:rsidR="00327289" w:rsidRDefault="00327289">
      <w:pPr>
        <w:jc w:val="center"/>
        <w:rPr>
          <w:rFonts w:ascii="Arial" w:eastAsia="Arial" w:hAnsi="Arial" w:cs="Arial"/>
          <w:sz w:val="22"/>
          <w:szCs w:val="22"/>
        </w:rPr>
      </w:pPr>
    </w:p>
    <w:p w14:paraId="2607A449" w14:textId="77777777" w:rsidR="00327289" w:rsidRDefault="006227DC">
      <w:pPr>
        <w:pStyle w:val="Ttulo1"/>
        <w:spacing w:line="240" w:lineRule="auto"/>
        <w:rPr>
          <w:sz w:val="22"/>
          <w:szCs w:val="22"/>
        </w:rPr>
      </w:pPr>
      <w:bookmarkStart w:id="1" w:name="_Toc78483635"/>
      <w:r>
        <w:rPr>
          <w:sz w:val="22"/>
          <w:szCs w:val="22"/>
        </w:rPr>
        <w:lastRenderedPageBreak/>
        <w:t>INTRODUCCIÓN</w:t>
      </w:r>
      <w:bookmarkEnd w:id="1"/>
    </w:p>
    <w:p w14:paraId="0E365DFD" w14:textId="77777777" w:rsidR="00327289" w:rsidRDefault="00327289">
      <w:pPr>
        <w:pBdr>
          <w:top w:val="nil"/>
          <w:left w:val="nil"/>
          <w:bottom w:val="nil"/>
          <w:right w:val="nil"/>
          <w:between w:val="nil"/>
        </w:pBdr>
        <w:jc w:val="center"/>
        <w:rPr>
          <w:rFonts w:ascii="Arial" w:eastAsia="Arial" w:hAnsi="Arial" w:cs="Arial"/>
          <w:color w:val="000000"/>
          <w:sz w:val="22"/>
          <w:szCs w:val="22"/>
        </w:rPr>
      </w:pPr>
    </w:p>
    <w:p w14:paraId="56C061BD" w14:textId="77777777" w:rsidR="00327289" w:rsidRDefault="006227DC">
      <w:pPr>
        <w:jc w:val="both"/>
        <w:rPr>
          <w:rFonts w:ascii="Arial" w:eastAsia="Arial" w:hAnsi="Arial" w:cs="Arial"/>
          <w:sz w:val="22"/>
          <w:szCs w:val="22"/>
        </w:rPr>
      </w:pPr>
      <w:r>
        <w:rPr>
          <w:rFonts w:ascii="Arial" w:eastAsia="Arial" w:hAnsi="Arial" w:cs="Arial"/>
          <w:sz w:val="22"/>
          <w:szCs w:val="22"/>
        </w:rPr>
        <w:t>El Instituto para la Investigación Educativa y el Desarrollo Pedagógico - IDEP está comprometido con el proceso de rendición de cuentas, al ser consciente de los beneficios y oportunidades de mejora en la gestión que esta puede aportar al interior de la entidad para hacerla más transparente. Este proceso busca fortalecer las relaciones con los ciudadanos y partes interesadas con la implementación de estrategias participativas que permitan acercarse a la gestión institucional y misional de la entidad, logrando así integrarla con la política de Transparencia, Participación y Servicio al Ciudadano.</w:t>
      </w:r>
    </w:p>
    <w:p w14:paraId="2D727DA8" w14:textId="77777777" w:rsidR="00327289" w:rsidRDefault="00327289">
      <w:pPr>
        <w:jc w:val="both"/>
        <w:rPr>
          <w:rFonts w:ascii="Arial" w:eastAsia="Arial" w:hAnsi="Arial" w:cs="Arial"/>
          <w:sz w:val="22"/>
          <w:szCs w:val="22"/>
        </w:rPr>
      </w:pPr>
    </w:p>
    <w:p w14:paraId="1C4B6263" w14:textId="77777777" w:rsidR="00327289" w:rsidRDefault="006227DC">
      <w:pPr>
        <w:jc w:val="both"/>
        <w:rPr>
          <w:rFonts w:ascii="Arial" w:eastAsia="Arial" w:hAnsi="Arial" w:cs="Arial"/>
          <w:sz w:val="22"/>
          <w:szCs w:val="22"/>
          <w:highlight w:val="white"/>
        </w:rPr>
      </w:pPr>
      <w:r>
        <w:rPr>
          <w:rFonts w:ascii="Arial" w:eastAsia="Arial" w:hAnsi="Arial" w:cs="Arial"/>
          <w:sz w:val="22"/>
          <w:szCs w:val="22"/>
          <w:highlight w:val="white"/>
        </w:rPr>
        <w:t>La rendición de cuentas es un espacio de interlocución entre los servidores públicos y la ciudadanía que tiene como finalidad generar transparencia, condiciones de confianza entre las entidades y ciudadanos y garantizar el ejercicio del control social a la administración. Además, sirve como insumo para ajustar proyectos y planes de acción para su realización y atender las necesidades manifestadas por la ciudadanía, evidenciando la articulación de la planeación y gestión institucional a la protección y promoción de los derechos humanos.</w:t>
      </w:r>
    </w:p>
    <w:p w14:paraId="130A26F7" w14:textId="77777777" w:rsidR="00327289" w:rsidRDefault="00327289">
      <w:pPr>
        <w:jc w:val="both"/>
        <w:rPr>
          <w:rFonts w:ascii="Arial" w:eastAsia="Arial" w:hAnsi="Arial" w:cs="Arial"/>
          <w:sz w:val="22"/>
          <w:szCs w:val="22"/>
          <w:highlight w:val="white"/>
        </w:rPr>
      </w:pPr>
    </w:p>
    <w:p w14:paraId="078591A6" w14:textId="77777777" w:rsidR="00327289" w:rsidRDefault="006227DC">
      <w:pPr>
        <w:jc w:val="both"/>
        <w:rPr>
          <w:rFonts w:ascii="Arial" w:eastAsia="Arial" w:hAnsi="Arial" w:cs="Arial"/>
          <w:sz w:val="22"/>
          <w:szCs w:val="22"/>
          <w:highlight w:val="white"/>
        </w:rPr>
      </w:pPr>
      <w:r>
        <w:rPr>
          <w:rFonts w:ascii="Arial" w:eastAsia="Arial" w:hAnsi="Arial" w:cs="Arial"/>
          <w:sz w:val="22"/>
          <w:szCs w:val="22"/>
          <w:highlight w:val="white"/>
        </w:rPr>
        <w:t xml:space="preserve">Durante la vigencia 2020 se realizó el seguimiento trimestral a las actividades propuestas en la estrategia de rendición de cuentas, convirtiéndose en un insumo para la formulación de la estrategia de la vigencia 2021. El seguimiento a la estrategia se encuentra publicado en la página web institucional en el siguiente link: </w:t>
      </w:r>
      <w:hyperlink r:id="rId9">
        <w:r>
          <w:rPr>
            <w:rFonts w:ascii="Arial" w:eastAsia="Arial" w:hAnsi="Arial" w:cs="Arial"/>
            <w:color w:val="0000FF"/>
            <w:sz w:val="22"/>
            <w:szCs w:val="22"/>
            <w:highlight w:val="white"/>
            <w:u w:val="single"/>
          </w:rPr>
          <w:t>http://www.idep.edu.co/?q=content/estrategia-de-rendici%C3%B3n-de-cuentas</w:t>
        </w:r>
      </w:hyperlink>
      <w:r>
        <w:rPr>
          <w:rFonts w:ascii="Arial" w:eastAsia="Arial" w:hAnsi="Arial" w:cs="Arial"/>
          <w:sz w:val="22"/>
          <w:szCs w:val="22"/>
          <w:highlight w:val="white"/>
        </w:rPr>
        <w:t xml:space="preserve"> </w:t>
      </w:r>
    </w:p>
    <w:p w14:paraId="2A313E76" w14:textId="77777777" w:rsidR="00327289" w:rsidRDefault="00327289">
      <w:pPr>
        <w:jc w:val="both"/>
        <w:rPr>
          <w:rFonts w:ascii="Arial" w:eastAsia="Arial" w:hAnsi="Arial" w:cs="Arial"/>
          <w:sz w:val="22"/>
          <w:szCs w:val="22"/>
          <w:highlight w:val="white"/>
        </w:rPr>
      </w:pPr>
    </w:p>
    <w:p w14:paraId="3E35EE56" w14:textId="77777777" w:rsidR="00327289" w:rsidRDefault="00327289">
      <w:pPr>
        <w:rPr>
          <w:rFonts w:ascii="Arial" w:eastAsia="Arial" w:hAnsi="Arial" w:cs="Arial"/>
          <w:sz w:val="22"/>
          <w:szCs w:val="22"/>
        </w:rPr>
      </w:pPr>
    </w:p>
    <w:p w14:paraId="36053F4C" w14:textId="77777777" w:rsidR="00327289" w:rsidRDefault="006227DC">
      <w:pPr>
        <w:pStyle w:val="Ttulo1"/>
        <w:spacing w:line="240" w:lineRule="auto"/>
        <w:jc w:val="left"/>
        <w:rPr>
          <w:sz w:val="22"/>
          <w:szCs w:val="22"/>
        </w:rPr>
      </w:pPr>
      <w:bookmarkStart w:id="2" w:name="_Toc78483636"/>
      <w:r>
        <w:rPr>
          <w:sz w:val="22"/>
          <w:szCs w:val="22"/>
        </w:rPr>
        <w:t>OBJETIVOS DE LA RENDICIÓN DE CUENTAS</w:t>
      </w:r>
      <w:bookmarkEnd w:id="2"/>
    </w:p>
    <w:p w14:paraId="025A093A" w14:textId="77777777" w:rsidR="00327289" w:rsidRDefault="00327289">
      <w:pPr>
        <w:pBdr>
          <w:top w:val="nil"/>
          <w:left w:val="nil"/>
          <w:bottom w:val="nil"/>
          <w:right w:val="nil"/>
          <w:between w:val="nil"/>
        </w:pBdr>
        <w:jc w:val="center"/>
        <w:rPr>
          <w:rFonts w:ascii="Arial" w:eastAsia="Arial" w:hAnsi="Arial" w:cs="Arial"/>
          <w:color w:val="000000"/>
          <w:sz w:val="22"/>
          <w:szCs w:val="22"/>
        </w:rPr>
      </w:pPr>
    </w:p>
    <w:p w14:paraId="5320958A" w14:textId="77777777" w:rsidR="00327289" w:rsidRDefault="006227DC">
      <w:pPr>
        <w:jc w:val="both"/>
        <w:rPr>
          <w:rFonts w:ascii="Arial" w:eastAsia="Arial" w:hAnsi="Arial" w:cs="Arial"/>
          <w:sz w:val="22"/>
          <w:szCs w:val="22"/>
        </w:rPr>
      </w:pPr>
      <w:r>
        <w:rPr>
          <w:rFonts w:ascii="Arial" w:eastAsia="Arial" w:hAnsi="Arial" w:cs="Arial"/>
          <w:sz w:val="22"/>
          <w:szCs w:val="22"/>
        </w:rPr>
        <w:t xml:space="preserve">El IDEP atendiendo los lineamientos, establecidos por la Veeduría Distrital y el Departamento Administrativo de la Función Pública – DAFP (Manual único d Rendición de Cuentas), para el mejoramiento y fortalecimiento de la gestión, plantea como objetivos del proceso de rendición de cuentas los siguientes: </w:t>
      </w:r>
    </w:p>
    <w:p w14:paraId="2415B411" w14:textId="77777777" w:rsidR="00327289" w:rsidRDefault="00327289">
      <w:pPr>
        <w:jc w:val="both"/>
        <w:rPr>
          <w:rFonts w:ascii="Arial" w:eastAsia="Arial" w:hAnsi="Arial" w:cs="Arial"/>
          <w:sz w:val="22"/>
          <w:szCs w:val="22"/>
        </w:rPr>
      </w:pPr>
    </w:p>
    <w:p w14:paraId="6FA9ADFD" w14:textId="77777777" w:rsidR="00327289" w:rsidRDefault="006227DC">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Adelantar acciones concretas que se conviertan en instrumentos de participación ciudadana presenciales o virtuales para el control social, transparencia y lucha contra la corrupción para la garantía y protección de los derechos de los ciudadanos. </w:t>
      </w:r>
    </w:p>
    <w:p w14:paraId="5B84BD7E" w14:textId="77777777" w:rsidR="00327289" w:rsidRDefault="006227DC">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Generar información con atributos de mayor calidad y de fácil comprensión para la ciudadanía</w:t>
      </w:r>
    </w:p>
    <w:p w14:paraId="0E666AE9" w14:textId="77777777" w:rsidR="00327289" w:rsidRDefault="006227DC">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Fortalecer el compromiso de los funcionarios en el proceso de rendición de cuentas. </w:t>
      </w:r>
    </w:p>
    <w:p w14:paraId="0A2021D9" w14:textId="77777777" w:rsidR="00327289" w:rsidRDefault="006227DC">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Cumplir con los compromisos propuestos en los ejercicios de rendición de cuentas</w:t>
      </w:r>
    </w:p>
    <w:p w14:paraId="0DBF33F6" w14:textId="77777777" w:rsidR="00327289" w:rsidRDefault="006227DC">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Generar mayor credibilidad por parte de la ciudadanía y partes interesadas.</w:t>
      </w:r>
    </w:p>
    <w:p w14:paraId="7B392BB2" w14:textId="552E8644" w:rsidR="00327289" w:rsidRDefault="00327289">
      <w:pPr>
        <w:jc w:val="both"/>
        <w:rPr>
          <w:rFonts w:ascii="Arial" w:eastAsia="Arial" w:hAnsi="Arial" w:cs="Arial"/>
          <w:sz w:val="22"/>
          <w:szCs w:val="22"/>
        </w:rPr>
      </w:pPr>
    </w:p>
    <w:p w14:paraId="74E1CC78" w14:textId="77777777" w:rsidR="00317280" w:rsidRDefault="00317280">
      <w:pPr>
        <w:jc w:val="both"/>
        <w:rPr>
          <w:rFonts w:ascii="Arial" w:eastAsia="Arial" w:hAnsi="Arial" w:cs="Arial"/>
          <w:sz w:val="22"/>
          <w:szCs w:val="22"/>
        </w:rPr>
      </w:pPr>
    </w:p>
    <w:p w14:paraId="09F5586D" w14:textId="77777777" w:rsidR="00327289" w:rsidRDefault="00327289">
      <w:pPr>
        <w:jc w:val="both"/>
        <w:rPr>
          <w:rFonts w:ascii="Arial" w:eastAsia="Arial" w:hAnsi="Arial" w:cs="Arial"/>
          <w:sz w:val="22"/>
          <w:szCs w:val="22"/>
        </w:rPr>
      </w:pPr>
    </w:p>
    <w:p w14:paraId="244E08B8" w14:textId="77777777" w:rsidR="00327289" w:rsidRDefault="006227DC">
      <w:pPr>
        <w:pStyle w:val="Ttulo1"/>
        <w:numPr>
          <w:ilvl w:val="0"/>
          <w:numId w:val="9"/>
        </w:numPr>
        <w:spacing w:line="240" w:lineRule="auto"/>
        <w:jc w:val="left"/>
        <w:rPr>
          <w:sz w:val="22"/>
          <w:szCs w:val="22"/>
        </w:rPr>
      </w:pPr>
      <w:bookmarkStart w:id="3" w:name="_Toc78483637"/>
      <w:r>
        <w:rPr>
          <w:sz w:val="22"/>
          <w:szCs w:val="22"/>
        </w:rPr>
        <w:lastRenderedPageBreak/>
        <w:t>ANÁLISIS DEL ESTADO DEL PROCESO DE RENDICIÓN DE CUENTAS DEL IDEP</w:t>
      </w:r>
      <w:bookmarkEnd w:id="3"/>
    </w:p>
    <w:p w14:paraId="60B13A62" w14:textId="77777777" w:rsidR="00327289" w:rsidRDefault="00327289">
      <w:pPr>
        <w:pBdr>
          <w:top w:val="nil"/>
          <w:left w:val="nil"/>
          <w:bottom w:val="nil"/>
          <w:right w:val="nil"/>
          <w:between w:val="nil"/>
        </w:pBdr>
        <w:jc w:val="center"/>
        <w:rPr>
          <w:rFonts w:ascii="Arial" w:eastAsia="Arial" w:hAnsi="Arial" w:cs="Arial"/>
          <w:color w:val="000000"/>
          <w:sz w:val="22"/>
          <w:szCs w:val="22"/>
        </w:rPr>
      </w:pPr>
    </w:p>
    <w:p w14:paraId="0A199CA5" w14:textId="77777777" w:rsidR="00327289" w:rsidRDefault="006227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IDEP realiza anualmente una audiencia de Rendición de Cuentas a la ciudadanía sobre la gestión adelantada durante la vigencia. Igualmente, cada año, a través de los eventos de socialización de las investigaciones y desarrollos pedagógicos que realiza la Subdirección Académica, adelanta actividades de rendición de cuentas a la ciudadanía, mediante seminarios, socializaciones, talleres, diálogos de saberes por iniciativa propia y con el fin de cumplir con el propósito de informar a la comunidad sobre los avances y resultados de estos procesos. Por esto, el IDEP se propone como reto aumentar la calificación del nivel de la estrategia de rendición de cuentas de acuerdo a los resultados del autodiagnóstico de Gestión de la Rendición de Cuentas del IDEP.</w:t>
      </w:r>
    </w:p>
    <w:p w14:paraId="139B0DA8" w14:textId="77777777" w:rsidR="00327289" w:rsidRDefault="00327289">
      <w:pPr>
        <w:pBdr>
          <w:top w:val="nil"/>
          <w:left w:val="nil"/>
          <w:bottom w:val="nil"/>
          <w:right w:val="nil"/>
          <w:between w:val="nil"/>
        </w:pBdr>
        <w:jc w:val="both"/>
        <w:rPr>
          <w:rFonts w:ascii="Arial" w:eastAsia="Arial" w:hAnsi="Arial" w:cs="Arial"/>
          <w:color w:val="000000"/>
          <w:sz w:val="22"/>
          <w:szCs w:val="22"/>
        </w:rPr>
      </w:pPr>
    </w:p>
    <w:p w14:paraId="3E67A3D9" w14:textId="77777777" w:rsidR="00327289" w:rsidRDefault="006227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Aunado a lo anterior, a través de la página Web (www.idep.edu.co) en el enlace denominado TRANSPARENCIA Y ACCESO A LA INFORMACIÓN PÚBLICA, e</w:t>
      </w:r>
      <w:r>
        <w:rPr>
          <w:rFonts w:ascii="Arial" w:eastAsia="Arial" w:hAnsi="Arial" w:cs="Arial"/>
          <w:color w:val="000000"/>
          <w:sz w:val="22"/>
          <w:szCs w:val="22"/>
          <w:highlight w:val="white"/>
        </w:rPr>
        <w:t xml:space="preserve">n cumplimiento a la Ley 1712 del 6 de marzo de 2014 y el Decreto Reglamentario 103 de 2015, el IDEP pone a disposición de la ciudadanía información sobre </w:t>
      </w:r>
      <w:r>
        <w:rPr>
          <w:rFonts w:ascii="Arial" w:eastAsia="Arial" w:hAnsi="Arial" w:cs="Arial"/>
          <w:color w:val="000000"/>
          <w:sz w:val="22"/>
          <w:szCs w:val="22"/>
        </w:rPr>
        <w:t>rendición de cuentas, metas e indicadores de gestión, presupuesto, ejecución de proyectos y planes de mejoramiento, entre otros.</w:t>
      </w:r>
    </w:p>
    <w:p w14:paraId="2905900E" w14:textId="77777777" w:rsidR="00327289" w:rsidRDefault="00327289">
      <w:pPr>
        <w:pBdr>
          <w:top w:val="nil"/>
          <w:left w:val="nil"/>
          <w:bottom w:val="nil"/>
          <w:right w:val="nil"/>
          <w:between w:val="nil"/>
        </w:pBdr>
        <w:jc w:val="both"/>
        <w:rPr>
          <w:rFonts w:ascii="Arial" w:eastAsia="Arial" w:hAnsi="Arial" w:cs="Arial"/>
          <w:color w:val="000000"/>
          <w:sz w:val="22"/>
          <w:szCs w:val="22"/>
        </w:rPr>
      </w:pPr>
    </w:p>
    <w:p w14:paraId="557422DB" w14:textId="77777777" w:rsidR="00327289" w:rsidRDefault="006227DC">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rPr>
        <w:t xml:space="preserve">Teniendo en cuenta el seguimiento de la estrategia utilizada en la vigencia anterior y a partir de los lineamientos del Manual Único de Rendición de cuentas de Función Pública, se realizó el autodiagnóstico de rendición de cuentas durante </w:t>
      </w:r>
      <w:r>
        <w:rPr>
          <w:rFonts w:ascii="Arial" w:eastAsia="Arial" w:hAnsi="Arial" w:cs="Arial"/>
          <w:color w:val="000000"/>
          <w:sz w:val="22"/>
          <w:szCs w:val="22"/>
          <w:highlight w:val="white"/>
        </w:rPr>
        <w:t>el primer trimestre de la vigencia 2021 por la entidad</w:t>
      </w:r>
      <w:r>
        <w:rPr>
          <w:rFonts w:ascii="Arial" w:eastAsia="Arial" w:hAnsi="Arial" w:cs="Arial"/>
          <w:color w:val="000000"/>
          <w:sz w:val="22"/>
          <w:szCs w:val="22"/>
        </w:rPr>
        <w:t xml:space="preserve">, con el fin de </w:t>
      </w:r>
      <w:r>
        <w:rPr>
          <w:rFonts w:ascii="Arial" w:eastAsia="Arial" w:hAnsi="Arial" w:cs="Arial"/>
          <w:color w:val="000000"/>
          <w:sz w:val="22"/>
          <w:szCs w:val="22"/>
          <w:highlight w:val="white"/>
        </w:rPr>
        <w:t xml:space="preserve">evaluar los procesos que desarrolló la entidad durante el año anterior para identificar fortalezas, debilidades, aspectos a mejorar en los nuevos procesos. </w:t>
      </w:r>
    </w:p>
    <w:p w14:paraId="636A071E" w14:textId="77777777" w:rsidR="00327289" w:rsidRDefault="00327289">
      <w:pPr>
        <w:pBdr>
          <w:top w:val="nil"/>
          <w:left w:val="nil"/>
          <w:bottom w:val="nil"/>
          <w:right w:val="nil"/>
          <w:between w:val="nil"/>
        </w:pBdr>
        <w:jc w:val="both"/>
        <w:rPr>
          <w:rFonts w:ascii="Arial" w:eastAsia="Arial" w:hAnsi="Arial" w:cs="Arial"/>
          <w:color w:val="000000"/>
          <w:sz w:val="22"/>
          <w:szCs w:val="22"/>
          <w:highlight w:val="white"/>
        </w:rPr>
      </w:pPr>
    </w:p>
    <w:p w14:paraId="75A008C0" w14:textId="77777777" w:rsidR="00327289" w:rsidRDefault="006227DC">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Esta actividad permite a la entidad identificar los insumos para el diseño y elaboración de la estrategia de rendición de cuentas basada en el enfoque de derechos y paz. Para lo anterior, se requiere: </w:t>
      </w:r>
    </w:p>
    <w:p w14:paraId="177C9B73" w14:textId="77777777" w:rsidR="00327289" w:rsidRDefault="00327289">
      <w:pPr>
        <w:pBdr>
          <w:top w:val="nil"/>
          <w:left w:val="nil"/>
          <w:bottom w:val="nil"/>
          <w:right w:val="nil"/>
          <w:between w:val="nil"/>
        </w:pBdr>
        <w:jc w:val="both"/>
        <w:rPr>
          <w:rFonts w:ascii="Arial" w:eastAsia="Arial" w:hAnsi="Arial" w:cs="Arial"/>
          <w:color w:val="000000"/>
          <w:sz w:val="22"/>
          <w:szCs w:val="22"/>
          <w:highlight w:val="white"/>
        </w:rPr>
      </w:pPr>
    </w:p>
    <w:p w14:paraId="22643B42" w14:textId="77777777" w:rsidR="00327289" w:rsidRDefault="006227DC">
      <w:pPr>
        <w:numPr>
          <w:ilvl w:val="0"/>
          <w:numId w:val="1"/>
        </w:num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Identificar el nivel en que se encuentra la entidad en materia de rendición de cuentas.</w:t>
      </w:r>
    </w:p>
    <w:p w14:paraId="7A421A74" w14:textId="77777777" w:rsidR="00327289" w:rsidRDefault="006227DC">
      <w:pPr>
        <w:numPr>
          <w:ilvl w:val="0"/>
          <w:numId w:val="1"/>
        </w:numPr>
        <w:pBdr>
          <w:top w:val="nil"/>
          <w:left w:val="nil"/>
          <w:bottom w:val="nil"/>
          <w:right w:val="nil"/>
          <w:between w:val="nil"/>
        </w:pBdr>
        <w:shd w:val="clear" w:color="auto" w:fill="FFFFFF"/>
        <w:spacing w:before="150" w:after="150"/>
        <w:jc w:val="both"/>
        <w:rPr>
          <w:rFonts w:ascii="Arial" w:eastAsia="Arial" w:hAnsi="Arial" w:cs="Arial"/>
          <w:color w:val="000000"/>
          <w:sz w:val="22"/>
          <w:szCs w:val="22"/>
        </w:rPr>
      </w:pPr>
      <w:r>
        <w:rPr>
          <w:rFonts w:ascii="Arial" w:eastAsia="Arial" w:hAnsi="Arial" w:cs="Arial"/>
          <w:color w:val="000000"/>
          <w:sz w:val="22"/>
          <w:szCs w:val="22"/>
          <w:highlight w:val="white"/>
        </w:rPr>
        <w:t>Evaluar los procesos que se han realizado de rendición de cuentas y los resultados obtenidos.</w:t>
      </w:r>
    </w:p>
    <w:p w14:paraId="54FDDF48" w14:textId="77777777" w:rsidR="00327289" w:rsidRDefault="006227DC">
      <w:pPr>
        <w:pStyle w:val="Ttulo2"/>
        <w:numPr>
          <w:ilvl w:val="1"/>
          <w:numId w:val="9"/>
        </w:numPr>
        <w:rPr>
          <w:rFonts w:ascii="Arial" w:eastAsia="Arial" w:hAnsi="Arial" w:cs="Arial"/>
          <w:b w:val="0"/>
          <w:sz w:val="22"/>
          <w:szCs w:val="22"/>
        </w:rPr>
      </w:pPr>
      <w:bookmarkStart w:id="4" w:name="_Toc78483638"/>
      <w:r>
        <w:rPr>
          <w:rFonts w:ascii="Arial" w:eastAsia="Arial" w:hAnsi="Arial" w:cs="Arial"/>
          <w:color w:val="000000"/>
          <w:sz w:val="22"/>
          <w:szCs w:val="22"/>
        </w:rPr>
        <w:t>Autodiagnóstico de la rendición de cuentas del IDEP</w:t>
      </w:r>
      <w:bookmarkEnd w:id="4"/>
      <w:r>
        <w:rPr>
          <w:rFonts w:ascii="Arial" w:eastAsia="Arial" w:hAnsi="Arial" w:cs="Arial"/>
          <w:b w:val="0"/>
          <w:color w:val="000000"/>
          <w:sz w:val="22"/>
          <w:szCs w:val="22"/>
        </w:rPr>
        <w:t xml:space="preserve"> </w:t>
      </w:r>
    </w:p>
    <w:p w14:paraId="2A6BB2D6" w14:textId="77777777" w:rsidR="00327289" w:rsidRDefault="00327289">
      <w:pPr>
        <w:rPr>
          <w:rFonts w:ascii="Arial" w:eastAsia="Arial" w:hAnsi="Arial" w:cs="Arial"/>
          <w:sz w:val="22"/>
          <w:szCs w:val="22"/>
        </w:rPr>
      </w:pPr>
    </w:p>
    <w:p w14:paraId="00B881E1" w14:textId="77777777" w:rsidR="00327289" w:rsidRDefault="006227DC">
      <w:pPr>
        <w:jc w:val="both"/>
        <w:rPr>
          <w:rFonts w:ascii="Arial" w:eastAsia="Arial" w:hAnsi="Arial" w:cs="Arial"/>
          <w:sz w:val="22"/>
          <w:szCs w:val="22"/>
        </w:rPr>
      </w:pPr>
      <w:r>
        <w:rPr>
          <w:rFonts w:ascii="Arial" w:eastAsia="Arial" w:hAnsi="Arial" w:cs="Arial"/>
          <w:sz w:val="22"/>
          <w:szCs w:val="22"/>
        </w:rPr>
        <w:t>El IDEP anualmente realiza el autodiagnóstico de la Gestión de la Rendición de Cuentas en el marco del Modelo Integrado de Gestión y Planeación para identificar sus fortalezas, debilidades y aspectos a mejorar en el proceso. El IDEP se encuentra en un nivel de consolidación, al obtener una calificación de 83,5</w:t>
      </w:r>
      <w:r>
        <w:rPr>
          <w:sz w:val="22"/>
          <w:szCs w:val="22"/>
          <w:vertAlign w:val="superscript"/>
        </w:rPr>
        <w:footnoteReference w:id="1"/>
      </w:r>
      <w:r>
        <w:rPr>
          <w:rFonts w:ascii="Arial" w:eastAsia="Arial" w:hAnsi="Arial" w:cs="Arial"/>
          <w:sz w:val="22"/>
          <w:szCs w:val="22"/>
        </w:rPr>
        <w:t xml:space="preserve"> en el autodiagnóstico, como se muestra a continuación.: </w:t>
      </w:r>
    </w:p>
    <w:p w14:paraId="415B48D0" w14:textId="77777777" w:rsidR="00327289" w:rsidRDefault="006227DC">
      <w:pPr>
        <w:jc w:val="both"/>
        <w:rPr>
          <w:rFonts w:ascii="Arial" w:eastAsia="Arial" w:hAnsi="Arial" w:cs="Arial"/>
          <w:b/>
          <w:sz w:val="22"/>
          <w:szCs w:val="22"/>
        </w:rPr>
      </w:pPr>
      <w:r>
        <w:rPr>
          <w:rFonts w:ascii="Arial" w:eastAsia="Arial" w:hAnsi="Arial" w:cs="Arial"/>
          <w:sz w:val="22"/>
          <w:szCs w:val="22"/>
        </w:rPr>
        <w:t xml:space="preserve"> </w:t>
      </w:r>
    </w:p>
    <w:tbl>
      <w:tblPr>
        <w:tblStyle w:val="a0"/>
        <w:tblW w:w="69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2486"/>
      </w:tblGrid>
      <w:tr w:rsidR="00327289" w14:paraId="710D35A5" w14:textId="77777777">
        <w:trPr>
          <w:trHeight w:val="327"/>
          <w:jc w:val="center"/>
        </w:trPr>
        <w:tc>
          <w:tcPr>
            <w:tcW w:w="6956" w:type="dxa"/>
            <w:gridSpan w:val="2"/>
            <w:shd w:val="clear" w:color="auto" w:fill="DBE5F1"/>
            <w:vAlign w:val="center"/>
          </w:tcPr>
          <w:p w14:paraId="6605369E" w14:textId="77777777" w:rsidR="00327289" w:rsidRDefault="006227DC">
            <w:pPr>
              <w:jc w:val="center"/>
              <w:rPr>
                <w:rFonts w:ascii="Arial" w:eastAsia="Arial" w:hAnsi="Arial" w:cs="Arial"/>
                <w:b/>
                <w:color w:val="FFFFFF"/>
                <w:sz w:val="22"/>
                <w:szCs w:val="22"/>
              </w:rPr>
            </w:pPr>
            <w:r>
              <w:rPr>
                <w:rFonts w:ascii="Arial" w:eastAsia="Arial" w:hAnsi="Arial" w:cs="Arial"/>
                <w:b/>
                <w:sz w:val="22"/>
                <w:szCs w:val="22"/>
              </w:rPr>
              <w:lastRenderedPageBreak/>
              <w:t>Autodiagnóstico gestión de la rendición de cuentas</w:t>
            </w:r>
          </w:p>
        </w:tc>
      </w:tr>
      <w:tr w:rsidR="00327289" w14:paraId="30191A12" w14:textId="77777777">
        <w:trPr>
          <w:trHeight w:val="191"/>
          <w:jc w:val="center"/>
        </w:trPr>
        <w:tc>
          <w:tcPr>
            <w:tcW w:w="4470" w:type="dxa"/>
            <w:shd w:val="clear" w:color="auto" w:fill="auto"/>
            <w:vAlign w:val="center"/>
          </w:tcPr>
          <w:p w14:paraId="22CFEA83" w14:textId="77777777" w:rsidR="00327289" w:rsidRDefault="006227DC">
            <w:pPr>
              <w:jc w:val="center"/>
              <w:rPr>
                <w:rFonts w:ascii="Arial" w:eastAsia="Arial" w:hAnsi="Arial" w:cs="Arial"/>
                <w:b/>
                <w:color w:val="002060"/>
                <w:sz w:val="22"/>
                <w:szCs w:val="22"/>
              </w:rPr>
            </w:pPr>
            <w:r>
              <w:rPr>
                <w:rFonts w:ascii="Arial" w:eastAsia="Arial" w:hAnsi="Arial" w:cs="Arial"/>
                <w:b/>
                <w:color w:val="002060"/>
                <w:sz w:val="22"/>
                <w:szCs w:val="22"/>
              </w:rPr>
              <w:t>Calificación total</w:t>
            </w:r>
          </w:p>
        </w:tc>
        <w:tc>
          <w:tcPr>
            <w:tcW w:w="2486" w:type="dxa"/>
            <w:shd w:val="clear" w:color="auto" w:fill="auto"/>
            <w:vAlign w:val="center"/>
          </w:tcPr>
          <w:p w14:paraId="1D6468E7" w14:textId="77777777" w:rsidR="00327289" w:rsidRDefault="006227DC">
            <w:pPr>
              <w:jc w:val="center"/>
              <w:rPr>
                <w:rFonts w:ascii="Arial" w:eastAsia="Arial" w:hAnsi="Arial" w:cs="Arial"/>
                <w:b/>
                <w:color w:val="002060"/>
                <w:sz w:val="22"/>
                <w:szCs w:val="22"/>
              </w:rPr>
            </w:pPr>
            <w:r>
              <w:rPr>
                <w:rFonts w:ascii="Arial" w:eastAsia="Arial" w:hAnsi="Arial" w:cs="Arial"/>
                <w:b/>
                <w:color w:val="002060"/>
                <w:sz w:val="22"/>
                <w:szCs w:val="22"/>
              </w:rPr>
              <w:t>83,5</w:t>
            </w:r>
          </w:p>
        </w:tc>
      </w:tr>
      <w:tr w:rsidR="00327289" w14:paraId="6D1DC730" w14:textId="77777777">
        <w:trPr>
          <w:trHeight w:val="263"/>
          <w:jc w:val="center"/>
        </w:trPr>
        <w:tc>
          <w:tcPr>
            <w:tcW w:w="6956" w:type="dxa"/>
            <w:gridSpan w:val="2"/>
            <w:shd w:val="clear" w:color="auto" w:fill="FFFF00"/>
            <w:vAlign w:val="center"/>
          </w:tcPr>
          <w:p w14:paraId="4E09E833" w14:textId="77777777" w:rsidR="00327289" w:rsidRDefault="006227DC">
            <w:pPr>
              <w:jc w:val="center"/>
              <w:rPr>
                <w:rFonts w:ascii="Arial" w:eastAsia="Arial" w:hAnsi="Arial" w:cs="Arial"/>
                <w:b/>
                <w:color w:val="002060"/>
                <w:sz w:val="22"/>
                <w:szCs w:val="22"/>
              </w:rPr>
            </w:pPr>
            <w:r>
              <w:rPr>
                <w:rFonts w:ascii="Arial" w:eastAsia="Arial" w:hAnsi="Arial" w:cs="Arial"/>
                <w:b/>
                <w:color w:val="002060"/>
                <w:sz w:val="22"/>
                <w:szCs w:val="22"/>
                <w:highlight w:val="yellow"/>
              </w:rPr>
              <w:t>Nivel consolidación</w:t>
            </w:r>
          </w:p>
        </w:tc>
      </w:tr>
      <w:tr w:rsidR="00327289" w14:paraId="467FDD8A" w14:textId="77777777">
        <w:trPr>
          <w:trHeight w:val="191"/>
          <w:jc w:val="center"/>
        </w:trPr>
        <w:tc>
          <w:tcPr>
            <w:tcW w:w="4470" w:type="dxa"/>
            <w:shd w:val="clear" w:color="auto" w:fill="auto"/>
            <w:vAlign w:val="center"/>
          </w:tcPr>
          <w:p w14:paraId="2A6F7466" w14:textId="77777777" w:rsidR="00327289" w:rsidRDefault="006227DC">
            <w:pPr>
              <w:rPr>
                <w:rFonts w:ascii="Arial" w:eastAsia="Arial" w:hAnsi="Arial" w:cs="Arial"/>
                <w:b/>
                <w:color w:val="000000"/>
                <w:sz w:val="22"/>
                <w:szCs w:val="22"/>
              </w:rPr>
            </w:pPr>
            <w:r>
              <w:rPr>
                <w:rFonts w:ascii="Arial" w:eastAsia="Arial" w:hAnsi="Arial" w:cs="Arial"/>
                <w:b/>
                <w:color w:val="000000"/>
                <w:sz w:val="22"/>
                <w:szCs w:val="22"/>
              </w:rPr>
              <w:t>Niveles Autodiagnóstico</w:t>
            </w:r>
          </w:p>
        </w:tc>
        <w:tc>
          <w:tcPr>
            <w:tcW w:w="2486" w:type="dxa"/>
            <w:shd w:val="clear" w:color="auto" w:fill="auto"/>
            <w:vAlign w:val="center"/>
          </w:tcPr>
          <w:p w14:paraId="10D13F8E" w14:textId="77777777" w:rsidR="00327289" w:rsidRDefault="00327289">
            <w:pPr>
              <w:rPr>
                <w:rFonts w:ascii="Arial" w:eastAsia="Arial" w:hAnsi="Arial" w:cs="Arial"/>
                <w:color w:val="000000"/>
                <w:sz w:val="22"/>
                <w:szCs w:val="22"/>
              </w:rPr>
            </w:pPr>
          </w:p>
        </w:tc>
      </w:tr>
      <w:tr w:rsidR="00327289" w14:paraId="4C42E07E" w14:textId="77777777">
        <w:trPr>
          <w:trHeight w:val="165"/>
          <w:jc w:val="center"/>
        </w:trPr>
        <w:tc>
          <w:tcPr>
            <w:tcW w:w="4470" w:type="dxa"/>
            <w:shd w:val="clear" w:color="auto" w:fill="auto"/>
            <w:vAlign w:val="center"/>
          </w:tcPr>
          <w:p w14:paraId="3262BE64" w14:textId="77777777" w:rsidR="00327289" w:rsidRDefault="006227DC">
            <w:pPr>
              <w:rPr>
                <w:rFonts w:ascii="Arial" w:eastAsia="Arial" w:hAnsi="Arial" w:cs="Arial"/>
                <w:color w:val="000000"/>
                <w:sz w:val="22"/>
                <w:szCs w:val="22"/>
              </w:rPr>
            </w:pPr>
            <w:r>
              <w:rPr>
                <w:rFonts w:ascii="Arial" w:eastAsia="Arial" w:hAnsi="Arial" w:cs="Arial"/>
                <w:b/>
                <w:color w:val="000000"/>
                <w:sz w:val="22"/>
                <w:szCs w:val="22"/>
              </w:rPr>
              <w:t>0-50:</w:t>
            </w:r>
            <w:r>
              <w:rPr>
                <w:rFonts w:ascii="Arial" w:eastAsia="Arial" w:hAnsi="Arial" w:cs="Arial"/>
                <w:color w:val="000000"/>
                <w:sz w:val="22"/>
                <w:szCs w:val="22"/>
              </w:rPr>
              <w:t xml:space="preserve"> Nivel Inicial</w:t>
            </w:r>
          </w:p>
        </w:tc>
        <w:tc>
          <w:tcPr>
            <w:tcW w:w="2486" w:type="dxa"/>
            <w:shd w:val="clear" w:color="auto" w:fill="FF0000"/>
            <w:vAlign w:val="center"/>
          </w:tcPr>
          <w:p w14:paraId="112ED234" w14:textId="77777777" w:rsidR="00327289" w:rsidRDefault="00327289">
            <w:pPr>
              <w:rPr>
                <w:rFonts w:ascii="Arial" w:eastAsia="Arial" w:hAnsi="Arial" w:cs="Arial"/>
                <w:color w:val="000000"/>
                <w:sz w:val="22"/>
                <w:szCs w:val="22"/>
              </w:rPr>
            </w:pPr>
          </w:p>
        </w:tc>
      </w:tr>
      <w:tr w:rsidR="00327289" w14:paraId="337B76BA" w14:textId="77777777">
        <w:trPr>
          <w:trHeight w:val="165"/>
          <w:jc w:val="center"/>
        </w:trPr>
        <w:tc>
          <w:tcPr>
            <w:tcW w:w="4470" w:type="dxa"/>
            <w:shd w:val="clear" w:color="auto" w:fill="auto"/>
            <w:vAlign w:val="center"/>
          </w:tcPr>
          <w:p w14:paraId="3CAB262E" w14:textId="77777777" w:rsidR="00327289" w:rsidRDefault="006227DC">
            <w:pPr>
              <w:rPr>
                <w:rFonts w:ascii="Arial" w:eastAsia="Arial" w:hAnsi="Arial" w:cs="Arial"/>
                <w:color w:val="000000"/>
                <w:sz w:val="22"/>
                <w:szCs w:val="22"/>
              </w:rPr>
            </w:pPr>
            <w:r>
              <w:rPr>
                <w:rFonts w:ascii="Arial" w:eastAsia="Arial" w:hAnsi="Arial" w:cs="Arial"/>
                <w:b/>
                <w:color w:val="000000"/>
                <w:sz w:val="22"/>
                <w:szCs w:val="22"/>
              </w:rPr>
              <w:t>51-80:</w:t>
            </w:r>
            <w:r>
              <w:rPr>
                <w:rFonts w:ascii="Arial" w:eastAsia="Arial" w:hAnsi="Arial" w:cs="Arial"/>
                <w:color w:val="000000"/>
                <w:sz w:val="22"/>
                <w:szCs w:val="22"/>
              </w:rPr>
              <w:t xml:space="preserve"> Nivel consolidación</w:t>
            </w:r>
          </w:p>
        </w:tc>
        <w:tc>
          <w:tcPr>
            <w:tcW w:w="2486" w:type="dxa"/>
            <w:shd w:val="clear" w:color="auto" w:fill="FFFF00"/>
            <w:vAlign w:val="center"/>
          </w:tcPr>
          <w:p w14:paraId="0CE4757A" w14:textId="77777777" w:rsidR="00327289" w:rsidRDefault="00327289">
            <w:pPr>
              <w:rPr>
                <w:rFonts w:ascii="Arial" w:eastAsia="Arial" w:hAnsi="Arial" w:cs="Arial"/>
                <w:color w:val="000000"/>
                <w:sz w:val="22"/>
                <w:szCs w:val="22"/>
              </w:rPr>
            </w:pPr>
          </w:p>
        </w:tc>
      </w:tr>
      <w:tr w:rsidR="00327289" w14:paraId="3214AB29" w14:textId="77777777">
        <w:trPr>
          <w:trHeight w:val="165"/>
          <w:jc w:val="center"/>
        </w:trPr>
        <w:tc>
          <w:tcPr>
            <w:tcW w:w="4470" w:type="dxa"/>
            <w:shd w:val="clear" w:color="auto" w:fill="auto"/>
            <w:vAlign w:val="center"/>
          </w:tcPr>
          <w:p w14:paraId="22869A42" w14:textId="77777777" w:rsidR="00327289" w:rsidRDefault="006227DC">
            <w:pPr>
              <w:rPr>
                <w:rFonts w:ascii="Arial" w:eastAsia="Arial" w:hAnsi="Arial" w:cs="Arial"/>
                <w:color w:val="000000"/>
                <w:sz w:val="22"/>
                <w:szCs w:val="22"/>
              </w:rPr>
            </w:pPr>
            <w:r>
              <w:rPr>
                <w:rFonts w:ascii="Arial" w:eastAsia="Arial" w:hAnsi="Arial" w:cs="Arial"/>
                <w:b/>
                <w:color w:val="000000"/>
                <w:sz w:val="22"/>
                <w:szCs w:val="22"/>
              </w:rPr>
              <w:t>81-100:</w:t>
            </w:r>
            <w:r>
              <w:rPr>
                <w:rFonts w:ascii="Arial" w:eastAsia="Arial" w:hAnsi="Arial" w:cs="Arial"/>
                <w:color w:val="000000"/>
                <w:sz w:val="22"/>
                <w:szCs w:val="22"/>
              </w:rPr>
              <w:t xml:space="preserve"> Nivel perfeccionamiento</w:t>
            </w:r>
          </w:p>
        </w:tc>
        <w:tc>
          <w:tcPr>
            <w:tcW w:w="2486" w:type="dxa"/>
            <w:shd w:val="clear" w:color="auto" w:fill="92D050"/>
            <w:vAlign w:val="center"/>
          </w:tcPr>
          <w:p w14:paraId="20D8A3E7" w14:textId="77777777" w:rsidR="00327289" w:rsidRDefault="00327289">
            <w:pPr>
              <w:rPr>
                <w:rFonts w:ascii="Arial" w:eastAsia="Arial" w:hAnsi="Arial" w:cs="Arial"/>
                <w:color w:val="000000"/>
                <w:sz w:val="22"/>
                <w:szCs w:val="22"/>
              </w:rPr>
            </w:pPr>
          </w:p>
        </w:tc>
      </w:tr>
    </w:tbl>
    <w:p w14:paraId="5DF7205B" w14:textId="77777777" w:rsidR="00327289" w:rsidRDefault="00327289">
      <w:pPr>
        <w:jc w:val="center"/>
        <w:rPr>
          <w:rFonts w:ascii="Arial" w:eastAsia="Arial" w:hAnsi="Arial" w:cs="Arial"/>
          <w:b/>
          <w:sz w:val="22"/>
          <w:szCs w:val="22"/>
        </w:rPr>
      </w:pPr>
    </w:p>
    <w:p w14:paraId="6CA12271" w14:textId="77777777" w:rsidR="00327289" w:rsidRDefault="00327289">
      <w:pPr>
        <w:rPr>
          <w:rFonts w:ascii="Arial" w:eastAsia="Arial" w:hAnsi="Arial" w:cs="Arial"/>
          <w:b/>
          <w:sz w:val="22"/>
          <w:szCs w:val="22"/>
        </w:rPr>
      </w:pPr>
    </w:p>
    <w:p w14:paraId="7CB32BA7" w14:textId="77777777" w:rsidR="00327289" w:rsidRDefault="006227DC">
      <w:pPr>
        <w:rPr>
          <w:rFonts w:ascii="Arial" w:eastAsia="Arial" w:hAnsi="Arial" w:cs="Arial"/>
          <w:b/>
          <w:sz w:val="22"/>
          <w:szCs w:val="22"/>
        </w:rPr>
      </w:pPr>
      <w:r>
        <w:rPr>
          <w:rFonts w:ascii="Arial" w:eastAsia="Arial" w:hAnsi="Arial" w:cs="Arial"/>
          <w:b/>
          <w:sz w:val="22"/>
          <w:szCs w:val="22"/>
        </w:rPr>
        <w:t xml:space="preserve">Gráfica No 1 Resultados de la clasificación por etapas </w:t>
      </w:r>
    </w:p>
    <w:p w14:paraId="009EA75F" w14:textId="77777777" w:rsidR="00327289" w:rsidRDefault="00327289">
      <w:pPr>
        <w:rPr>
          <w:rFonts w:ascii="Arial" w:eastAsia="Arial" w:hAnsi="Arial" w:cs="Arial"/>
          <w:b/>
          <w:sz w:val="22"/>
          <w:szCs w:val="22"/>
        </w:rPr>
      </w:pPr>
    </w:p>
    <w:p w14:paraId="6187AB2C" w14:textId="77777777" w:rsidR="00327289" w:rsidRDefault="006227DC">
      <w:pPr>
        <w:rPr>
          <w:rFonts w:ascii="Arial" w:eastAsia="Arial" w:hAnsi="Arial" w:cs="Arial"/>
          <w:b/>
          <w:sz w:val="22"/>
          <w:szCs w:val="22"/>
        </w:rPr>
      </w:pPr>
      <w:r>
        <w:rPr>
          <w:noProof/>
          <w:sz w:val="12"/>
          <w:szCs w:val="12"/>
          <w:lang w:val="es-CO"/>
        </w:rPr>
        <w:drawing>
          <wp:inline distT="0" distB="0" distL="0" distR="0" wp14:anchorId="7CEA443B" wp14:editId="424899A6">
            <wp:extent cx="5850890" cy="218821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BE91A6" w14:textId="77777777" w:rsidR="00327289" w:rsidRDefault="00327289">
      <w:pPr>
        <w:rPr>
          <w:rFonts w:ascii="Arial" w:eastAsia="Arial" w:hAnsi="Arial" w:cs="Arial"/>
          <w:b/>
          <w:sz w:val="22"/>
          <w:szCs w:val="22"/>
        </w:rPr>
      </w:pPr>
    </w:p>
    <w:p w14:paraId="25E66A5E" w14:textId="77777777" w:rsidR="00327289" w:rsidRDefault="006227DC">
      <w:pPr>
        <w:jc w:val="both"/>
        <w:rPr>
          <w:rFonts w:ascii="Arial" w:eastAsia="Arial" w:hAnsi="Arial" w:cs="Arial"/>
          <w:sz w:val="22"/>
          <w:szCs w:val="22"/>
        </w:rPr>
      </w:pPr>
      <w:r>
        <w:rPr>
          <w:rFonts w:ascii="Arial" w:eastAsia="Arial" w:hAnsi="Arial" w:cs="Arial"/>
          <w:sz w:val="22"/>
          <w:szCs w:val="22"/>
        </w:rPr>
        <w:t>Como se muestra en la gráfica 1 la etapa de Preparación para la rendición de cuentas tiene un puntaje de 88.6, siendo el más alto entre las cinco etapas, mientras que la etapa de Seguimiento y evaluación de la implementación de la estrategia de rendición de cuentas tiene el puntaje más bajo con 76.8. Sobre esta última etapa la entidad encaminará sus esfuerzos para lograr una mejor puntuación.</w:t>
      </w:r>
    </w:p>
    <w:p w14:paraId="138B628E" w14:textId="77777777" w:rsidR="00327289" w:rsidRDefault="00327289">
      <w:pPr>
        <w:jc w:val="both"/>
        <w:rPr>
          <w:rFonts w:ascii="Arial" w:eastAsia="Arial" w:hAnsi="Arial" w:cs="Arial"/>
          <w:sz w:val="22"/>
          <w:szCs w:val="22"/>
        </w:rPr>
      </w:pPr>
    </w:p>
    <w:p w14:paraId="6550A339" w14:textId="77777777" w:rsidR="00327289" w:rsidRDefault="006227DC">
      <w:pPr>
        <w:jc w:val="both"/>
        <w:rPr>
          <w:rFonts w:ascii="Arial" w:eastAsia="Arial" w:hAnsi="Arial" w:cs="Arial"/>
          <w:sz w:val="22"/>
          <w:szCs w:val="22"/>
        </w:rPr>
      </w:pPr>
      <w:r>
        <w:rPr>
          <w:rFonts w:ascii="Arial" w:eastAsia="Arial" w:hAnsi="Arial" w:cs="Arial"/>
          <w:sz w:val="22"/>
          <w:szCs w:val="22"/>
        </w:rPr>
        <w:t>Frente a la vigencia anterior, se evidencia un incremento en la calificación del autodiagnóstico, en 5.1 puntos frente a la calificación de la vigencia anterior. Esto se ve reflejado en todas las etapas del proceso.</w:t>
      </w:r>
    </w:p>
    <w:p w14:paraId="6192A00A" w14:textId="77777777" w:rsidR="00327289" w:rsidRDefault="00327289">
      <w:pPr>
        <w:jc w:val="both"/>
        <w:rPr>
          <w:rFonts w:ascii="Arial" w:eastAsia="Arial" w:hAnsi="Arial" w:cs="Arial"/>
          <w:sz w:val="22"/>
          <w:szCs w:val="22"/>
        </w:rPr>
      </w:pPr>
    </w:p>
    <w:p w14:paraId="511293C5" w14:textId="77777777" w:rsidR="00327289" w:rsidRDefault="006227DC">
      <w:pPr>
        <w:jc w:val="both"/>
        <w:rPr>
          <w:rFonts w:ascii="Arial" w:eastAsia="Arial" w:hAnsi="Arial" w:cs="Arial"/>
          <w:sz w:val="22"/>
          <w:szCs w:val="22"/>
        </w:rPr>
      </w:pPr>
      <w:r>
        <w:rPr>
          <w:rFonts w:ascii="Arial" w:eastAsia="Arial" w:hAnsi="Arial" w:cs="Arial"/>
          <w:sz w:val="22"/>
          <w:szCs w:val="22"/>
        </w:rPr>
        <w:t xml:space="preserve">Es importante precisar que el Plan estratégico de desarrollo institucional se encuentra alineado con los Objetivos de Desarrollo Sostenible – ODS. Previo a la audiencia pública de rendición de cuentas, se publicó el Informe público de rendición de cuentas atendiendo a los lineamientos de la Veeduría Distrital para el conocimiento de la información a presentar por la entidad a la ciudadanía. </w:t>
      </w:r>
    </w:p>
    <w:p w14:paraId="50BBDB3C" w14:textId="77777777" w:rsidR="00327289" w:rsidRDefault="00327289">
      <w:pPr>
        <w:jc w:val="both"/>
        <w:rPr>
          <w:rFonts w:ascii="Arial" w:eastAsia="Arial" w:hAnsi="Arial" w:cs="Arial"/>
          <w:sz w:val="22"/>
          <w:szCs w:val="22"/>
        </w:rPr>
      </w:pPr>
    </w:p>
    <w:p w14:paraId="51D67180" w14:textId="77777777" w:rsidR="00327289" w:rsidRDefault="00327289">
      <w:pPr>
        <w:jc w:val="both"/>
        <w:rPr>
          <w:rFonts w:ascii="Arial" w:eastAsia="Arial" w:hAnsi="Arial" w:cs="Arial"/>
          <w:sz w:val="22"/>
          <w:szCs w:val="22"/>
        </w:rPr>
      </w:pPr>
    </w:p>
    <w:p w14:paraId="0A1F0230" w14:textId="61AA1997" w:rsidR="00327289" w:rsidRDefault="00DD5E26" w:rsidP="00DD5E26">
      <w:pPr>
        <w:pStyle w:val="Ttulo3"/>
        <w:ind w:left="720"/>
        <w:rPr>
          <w:rFonts w:ascii="Arial" w:eastAsia="Arial" w:hAnsi="Arial" w:cs="Arial"/>
          <w:b w:val="0"/>
          <w:color w:val="000000"/>
          <w:sz w:val="22"/>
          <w:szCs w:val="22"/>
        </w:rPr>
      </w:pPr>
      <w:bookmarkStart w:id="5" w:name="_Toc78483639"/>
      <w:r>
        <w:rPr>
          <w:rFonts w:ascii="Arial" w:eastAsia="Arial" w:hAnsi="Arial" w:cs="Arial"/>
          <w:color w:val="000000"/>
          <w:sz w:val="22"/>
          <w:szCs w:val="22"/>
        </w:rPr>
        <w:lastRenderedPageBreak/>
        <w:t xml:space="preserve">1.1.1 </w:t>
      </w:r>
      <w:r w:rsidR="006227DC">
        <w:rPr>
          <w:rFonts w:ascii="Arial" w:eastAsia="Arial" w:hAnsi="Arial" w:cs="Arial"/>
          <w:color w:val="000000"/>
          <w:sz w:val="22"/>
          <w:szCs w:val="22"/>
        </w:rPr>
        <w:t>Resultados por etapa y categoría</w:t>
      </w:r>
      <w:bookmarkEnd w:id="5"/>
      <w:r w:rsidR="006227DC">
        <w:rPr>
          <w:rFonts w:ascii="Arial" w:eastAsia="Arial" w:hAnsi="Arial" w:cs="Arial"/>
          <w:color w:val="000000"/>
          <w:sz w:val="22"/>
          <w:szCs w:val="22"/>
        </w:rPr>
        <w:t xml:space="preserve"> </w:t>
      </w:r>
    </w:p>
    <w:p w14:paraId="62A3AB46" w14:textId="77777777" w:rsidR="00327289" w:rsidRDefault="00327289">
      <w:pPr>
        <w:jc w:val="both"/>
        <w:rPr>
          <w:rFonts w:ascii="Arial" w:eastAsia="Arial" w:hAnsi="Arial" w:cs="Arial"/>
          <w:b/>
          <w:sz w:val="22"/>
          <w:szCs w:val="22"/>
        </w:rPr>
      </w:pPr>
    </w:p>
    <w:p w14:paraId="3BEE9357" w14:textId="77777777" w:rsidR="00327289" w:rsidRDefault="006227DC">
      <w:pPr>
        <w:jc w:val="both"/>
        <w:rPr>
          <w:rFonts w:ascii="Arial" w:eastAsia="Arial" w:hAnsi="Arial" w:cs="Arial"/>
          <w:b/>
          <w:color w:val="000000"/>
          <w:sz w:val="22"/>
          <w:szCs w:val="22"/>
        </w:rPr>
      </w:pPr>
      <w:r>
        <w:rPr>
          <w:rFonts w:ascii="Arial" w:eastAsia="Arial" w:hAnsi="Arial" w:cs="Arial"/>
          <w:b/>
          <w:sz w:val="22"/>
          <w:szCs w:val="22"/>
        </w:rPr>
        <w:t>Gráfica</w:t>
      </w:r>
      <w:r>
        <w:rPr>
          <w:rFonts w:ascii="Arial" w:eastAsia="Arial" w:hAnsi="Arial" w:cs="Arial"/>
          <w:b/>
          <w:color w:val="000000"/>
          <w:sz w:val="22"/>
          <w:szCs w:val="22"/>
        </w:rPr>
        <w:t xml:space="preserve"> 2 etapa de aprestamiento institucional para promover la Rendición de Cuentas</w:t>
      </w:r>
    </w:p>
    <w:p w14:paraId="4A97548F" w14:textId="77777777" w:rsidR="00327289" w:rsidRDefault="00327289">
      <w:pPr>
        <w:jc w:val="both"/>
        <w:rPr>
          <w:rFonts w:ascii="Arial" w:eastAsia="Arial" w:hAnsi="Arial" w:cs="Arial"/>
          <w:b/>
          <w:sz w:val="22"/>
          <w:szCs w:val="22"/>
        </w:rPr>
      </w:pPr>
    </w:p>
    <w:p w14:paraId="2A93D7A1" w14:textId="77777777" w:rsidR="00327289" w:rsidRDefault="00327289">
      <w:pPr>
        <w:jc w:val="center"/>
        <w:rPr>
          <w:rFonts w:ascii="Arial" w:eastAsia="Arial" w:hAnsi="Arial" w:cs="Arial"/>
          <w:sz w:val="22"/>
          <w:szCs w:val="22"/>
        </w:rPr>
      </w:pPr>
    </w:p>
    <w:p w14:paraId="04C401A0" w14:textId="77777777" w:rsidR="00327289" w:rsidRDefault="00327289">
      <w:pPr>
        <w:jc w:val="both"/>
        <w:rPr>
          <w:rFonts w:ascii="Arial" w:eastAsia="Arial" w:hAnsi="Arial" w:cs="Arial"/>
          <w:sz w:val="22"/>
          <w:szCs w:val="22"/>
        </w:rPr>
      </w:pPr>
    </w:p>
    <w:p w14:paraId="6E7F0B33" w14:textId="77777777" w:rsidR="00327289" w:rsidRDefault="006227DC">
      <w:pPr>
        <w:jc w:val="center"/>
        <w:rPr>
          <w:rFonts w:ascii="Arial" w:eastAsia="Arial" w:hAnsi="Arial" w:cs="Arial"/>
          <w:sz w:val="22"/>
          <w:szCs w:val="22"/>
        </w:rPr>
      </w:pPr>
      <w:r>
        <w:rPr>
          <w:rFonts w:ascii="Arial" w:eastAsia="Arial" w:hAnsi="Arial" w:cs="Arial"/>
          <w:noProof/>
          <w:sz w:val="22"/>
          <w:szCs w:val="22"/>
          <w:lang w:val="es-CO"/>
        </w:rPr>
        <w:drawing>
          <wp:inline distT="0" distB="0" distL="0" distR="0" wp14:anchorId="763B45DA" wp14:editId="5AF3A026">
            <wp:extent cx="4969254" cy="2100309"/>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969254" cy="2100309"/>
                    </a:xfrm>
                    <a:prstGeom prst="rect">
                      <a:avLst/>
                    </a:prstGeom>
                    <a:ln/>
                  </pic:spPr>
                </pic:pic>
              </a:graphicData>
            </a:graphic>
          </wp:inline>
        </w:drawing>
      </w:r>
    </w:p>
    <w:p w14:paraId="1ADD8696" w14:textId="77777777" w:rsidR="00327289" w:rsidRDefault="006227DC">
      <w:pPr>
        <w:jc w:val="both"/>
        <w:rPr>
          <w:rFonts w:ascii="Arial" w:eastAsia="Arial" w:hAnsi="Arial" w:cs="Arial"/>
          <w:sz w:val="22"/>
          <w:szCs w:val="22"/>
        </w:rPr>
      </w:pPr>
      <w:r>
        <w:rPr>
          <w:rFonts w:ascii="Arial" w:eastAsia="Arial" w:hAnsi="Arial" w:cs="Arial"/>
          <w:sz w:val="22"/>
          <w:szCs w:val="22"/>
        </w:rPr>
        <w:t>En la gráfica No 2, en la categoría de Análisis de las debilidades y fortalezas para la rendición de cuentas se evidencia que el Comité Institucional de Gestión y desempeño realiza la evaluación de la Rendición de cuentas de la vigencia anterior, con el fin de identificar las debilidades y fortalezas del ejercicio realizado. Adicionalmente en el ejercicio de planeación de la rendición de cuentas se evalúan los aspectos a mejorar para la siguiente vigencia y se realiza el instrumento de autodiagnóstico de la Rendición de cuentas.</w:t>
      </w:r>
    </w:p>
    <w:p w14:paraId="3F80E110" w14:textId="77777777" w:rsidR="00327289" w:rsidRDefault="00327289">
      <w:pPr>
        <w:jc w:val="both"/>
        <w:rPr>
          <w:rFonts w:ascii="Arial" w:eastAsia="Arial" w:hAnsi="Arial" w:cs="Arial"/>
          <w:sz w:val="22"/>
          <w:szCs w:val="22"/>
        </w:rPr>
      </w:pPr>
    </w:p>
    <w:p w14:paraId="4E4701F9" w14:textId="77777777" w:rsidR="00327289" w:rsidRDefault="006227DC">
      <w:pPr>
        <w:jc w:val="both"/>
        <w:rPr>
          <w:rFonts w:ascii="Arial" w:eastAsia="Arial" w:hAnsi="Arial" w:cs="Arial"/>
          <w:sz w:val="22"/>
          <w:szCs w:val="22"/>
        </w:rPr>
      </w:pPr>
      <w:r>
        <w:rPr>
          <w:rFonts w:ascii="Arial" w:eastAsia="Arial" w:hAnsi="Arial" w:cs="Arial"/>
          <w:sz w:val="22"/>
          <w:szCs w:val="22"/>
        </w:rPr>
        <w:t>La estrategia de rendición de cuentas del IDEP menciona aspectos generales e identifica las condiciones de entorno social, económico, político y ambiental   que permiten establecer posibles factores externos que afecten el desarrollo del proceso, igualmente, cuenta con la caracterización de los grupos de valor que hacen parte de las diferentes etapas de la participación ciudadana. Es importante resaltar que el IDEP cuenta con un equipo de trabajo y también participa de los ejercicios de capacitación definidos en la estrategia de rendición de cuentas.</w:t>
      </w:r>
    </w:p>
    <w:p w14:paraId="15237B29" w14:textId="77777777" w:rsidR="00327289" w:rsidRDefault="00327289">
      <w:pPr>
        <w:jc w:val="both"/>
        <w:rPr>
          <w:rFonts w:ascii="Arial" w:eastAsia="Arial" w:hAnsi="Arial" w:cs="Arial"/>
          <w:sz w:val="22"/>
          <w:szCs w:val="22"/>
        </w:rPr>
      </w:pPr>
    </w:p>
    <w:p w14:paraId="0D38953C" w14:textId="77777777" w:rsidR="00327289" w:rsidRDefault="00327289">
      <w:pPr>
        <w:jc w:val="both"/>
        <w:rPr>
          <w:rFonts w:ascii="Arial" w:eastAsia="Arial" w:hAnsi="Arial" w:cs="Arial"/>
          <w:sz w:val="22"/>
          <w:szCs w:val="22"/>
        </w:rPr>
      </w:pPr>
    </w:p>
    <w:p w14:paraId="4EC1E142" w14:textId="77777777" w:rsidR="00327289" w:rsidRDefault="00327289">
      <w:pPr>
        <w:jc w:val="both"/>
        <w:rPr>
          <w:rFonts w:ascii="Arial" w:eastAsia="Arial" w:hAnsi="Arial" w:cs="Arial"/>
          <w:sz w:val="22"/>
          <w:szCs w:val="22"/>
        </w:rPr>
      </w:pPr>
    </w:p>
    <w:p w14:paraId="7EEB7F3C" w14:textId="77777777" w:rsidR="00327289" w:rsidRDefault="00327289">
      <w:pPr>
        <w:jc w:val="both"/>
        <w:rPr>
          <w:rFonts w:ascii="Arial" w:eastAsia="Arial" w:hAnsi="Arial" w:cs="Arial"/>
          <w:sz w:val="22"/>
          <w:szCs w:val="22"/>
        </w:rPr>
      </w:pPr>
    </w:p>
    <w:p w14:paraId="2B7D0DF8" w14:textId="77777777" w:rsidR="00327289" w:rsidRDefault="00327289">
      <w:pPr>
        <w:jc w:val="both"/>
        <w:rPr>
          <w:rFonts w:ascii="Arial" w:eastAsia="Arial" w:hAnsi="Arial" w:cs="Arial"/>
          <w:sz w:val="22"/>
          <w:szCs w:val="22"/>
        </w:rPr>
      </w:pPr>
    </w:p>
    <w:p w14:paraId="778DAF98" w14:textId="77777777" w:rsidR="00327289" w:rsidRDefault="00327289">
      <w:pPr>
        <w:jc w:val="both"/>
        <w:rPr>
          <w:rFonts w:ascii="Arial" w:eastAsia="Arial" w:hAnsi="Arial" w:cs="Arial"/>
          <w:sz w:val="22"/>
          <w:szCs w:val="22"/>
        </w:rPr>
      </w:pPr>
    </w:p>
    <w:p w14:paraId="11964585" w14:textId="77777777" w:rsidR="00327289" w:rsidRDefault="00327289">
      <w:pPr>
        <w:jc w:val="both"/>
        <w:rPr>
          <w:rFonts w:ascii="Arial" w:eastAsia="Arial" w:hAnsi="Arial" w:cs="Arial"/>
          <w:sz w:val="22"/>
          <w:szCs w:val="22"/>
        </w:rPr>
      </w:pPr>
    </w:p>
    <w:p w14:paraId="4CF5B6FD" w14:textId="77777777" w:rsidR="00327289" w:rsidRDefault="00327289">
      <w:pPr>
        <w:jc w:val="both"/>
        <w:rPr>
          <w:rFonts w:ascii="Arial" w:eastAsia="Arial" w:hAnsi="Arial" w:cs="Arial"/>
          <w:sz w:val="22"/>
          <w:szCs w:val="22"/>
        </w:rPr>
      </w:pPr>
    </w:p>
    <w:p w14:paraId="0979E02E" w14:textId="77777777" w:rsidR="00327289" w:rsidRDefault="00327289">
      <w:pPr>
        <w:jc w:val="both"/>
        <w:rPr>
          <w:rFonts w:ascii="Arial" w:eastAsia="Arial" w:hAnsi="Arial" w:cs="Arial"/>
          <w:sz w:val="22"/>
          <w:szCs w:val="22"/>
        </w:rPr>
      </w:pPr>
    </w:p>
    <w:p w14:paraId="2399F724" w14:textId="77777777" w:rsidR="00327289" w:rsidRDefault="00327289">
      <w:pPr>
        <w:jc w:val="both"/>
        <w:rPr>
          <w:rFonts w:ascii="Arial" w:eastAsia="Arial" w:hAnsi="Arial" w:cs="Arial"/>
          <w:sz w:val="22"/>
          <w:szCs w:val="22"/>
        </w:rPr>
      </w:pPr>
    </w:p>
    <w:p w14:paraId="64AADCEB" w14:textId="77777777" w:rsidR="00327289" w:rsidRDefault="00327289">
      <w:pPr>
        <w:jc w:val="both"/>
        <w:rPr>
          <w:rFonts w:ascii="Arial" w:eastAsia="Arial" w:hAnsi="Arial" w:cs="Arial"/>
          <w:sz w:val="22"/>
          <w:szCs w:val="22"/>
        </w:rPr>
      </w:pPr>
    </w:p>
    <w:p w14:paraId="09EA1018" w14:textId="77777777" w:rsidR="00327289" w:rsidRDefault="006227DC">
      <w:pPr>
        <w:jc w:val="both"/>
        <w:rPr>
          <w:rFonts w:ascii="Arial" w:eastAsia="Arial" w:hAnsi="Arial" w:cs="Arial"/>
          <w:b/>
          <w:color w:val="000000"/>
          <w:sz w:val="22"/>
          <w:szCs w:val="22"/>
        </w:rPr>
      </w:pPr>
      <w:r>
        <w:rPr>
          <w:rFonts w:ascii="Arial" w:eastAsia="Arial" w:hAnsi="Arial" w:cs="Arial"/>
          <w:b/>
          <w:sz w:val="22"/>
          <w:szCs w:val="22"/>
        </w:rPr>
        <w:t>Gráfica</w:t>
      </w:r>
      <w:r>
        <w:rPr>
          <w:rFonts w:ascii="Arial" w:eastAsia="Arial" w:hAnsi="Arial" w:cs="Arial"/>
          <w:b/>
          <w:color w:val="000000"/>
          <w:sz w:val="22"/>
          <w:szCs w:val="22"/>
        </w:rPr>
        <w:t xml:space="preserve"> 3 etapa de Diseño de la Estrategia de Rendición de Cuentas</w:t>
      </w:r>
    </w:p>
    <w:p w14:paraId="737831B2" w14:textId="77777777" w:rsidR="00327289" w:rsidRDefault="00327289">
      <w:pPr>
        <w:jc w:val="center"/>
        <w:rPr>
          <w:rFonts w:ascii="Arial" w:eastAsia="Arial" w:hAnsi="Arial" w:cs="Arial"/>
          <w:sz w:val="22"/>
          <w:szCs w:val="22"/>
        </w:rPr>
      </w:pPr>
    </w:p>
    <w:p w14:paraId="651776B8" w14:textId="77777777" w:rsidR="00327289" w:rsidRDefault="00327289">
      <w:pPr>
        <w:jc w:val="center"/>
        <w:rPr>
          <w:rFonts w:ascii="Arial" w:eastAsia="Arial" w:hAnsi="Arial" w:cs="Arial"/>
          <w:sz w:val="22"/>
          <w:szCs w:val="22"/>
        </w:rPr>
      </w:pPr>
    </w:p>
    <w:p w14:paraId="503250D4" w14:textId="77777777" w:rsidR="00327289" w:rsidRDefault="006227DC">
      <w:pPr>
        <w:jc w:val="center"/>
        <w:rPr>
          <w:rFonts w:ascii="Arial" w:eastAsia="Arial" w:hAnsi="Arial" w:cs="Arial"/>
          <w:sz w:val="22"/>
          <w:szCs w:val="22"/>
        </w:rPr>
      </w:pPr>
      <w:r>
        <w:rPr>
          <w:rFonts w:ascii="Arial" w:eastAsia="Arial" w:hAnsi="Arial" w:cs="Arial"/>
          <w:noProof/>
          <w:sz w:val="22"/>
          <w:szCs w:val="22"/>
          <w:lang w:val="es-CO"/>
        </w:rPr>
        <w:drawing>
          <wp:inline distT="0" distB="0" distL="0" distR="0" wp14:anchorId="4F53B7A2" wp14:editId="59B895EB">
            <wp:extent cx="4355815" cy="1841031"/>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355815" cy="1841031"/>
                    </a:xfrm>
                    <a:prstGeom prst="rect">
                      <a:avLst/>
                    </a:prstGeom>
                    <a:ln/>
                  </pic:spPr>
                </pic:pic>
              </a:graphicData>
            </a:graphic>
          </wp:inline>
        </w:drawing>
      </w:r>
    </w:p>
    <w:p w14:paraId="3553A2A4" w14:textId="77777777" w:rsidR="00327289" w:rsidRDefault="006227DC">
      <w:pPr>
        <w:jc w:val="both"/>
        <w:rPr>
          <w:rFonts w:ascii="Arial" w:eastAsia="Arial" w:hAnsi="Arial" w:cs="Arial"/>
          <w:sz w:val="22"/>
          <w:szCs w:val="22"/>
        </w:rPr>
      </w:pPr>
      <w:r>
        <w:rPr>
          <w:rFonts w:ascii="Arial" w:eastAsia="Arial" w:hAnsi="Arial" w:cs="Arial"/>
          <w:sz w:val="22"/>
          <w:szCs w:val="22"/>
        </w:rPr>
        <w:t xml:space="preserve">Como se observa en la gráfica No 3, se muestra la calificación de la categoría de Definición de la estrategia para implementar el ejercicio de rendición de cuentas, la cual se encuentra en un nivel de consolidación debido a que en la estrategia de rendición de cuentas de la entidad no se evidencia la colaboración de los grupos de interés en la elaboración de la estrategia, así como la definición del reto de la estrategia, respecto de la categoría de Identificación de los espacios de diálogo en los que la entidad rendirá cuentas tiene un nivel de perfeccionamiento puesto que en la estrategia se definen los espacios de participación que realizará la entidad durante la vigencia y los grupos de valor que participarán en los encuentros. </w:t>
      </w:r>
    </w:p>
    <w:p w14:paraId="64934E4F" w14:textId="77777777" w:rsidR="00327289" w:rsidRDefault="00327289">
      <w:pPr>
        <w:jc w:val="both"/>
        <w:rPr>
          <w:rFonts w:ascii="Arial" w:eastAsia="Arial" w:hAnsi="Arial" w:cs="Arial"/>
          <w:sz w:val="22"/>
          <w:szCs w:val="22"/>
        </w:rPr>
      </w:pPr>
    </w:p>
    <w:p w14:paraId="023019A6" w14:textId="77777777" w:rsidR="00327289" w:rsidRDefault="00327289">
      <w:pPr>
        <w:jc w:val="both"/>
        <w:rPr>
          <w:rFonts w:ascii="Arial" w:eastAsia="Arial" w:hAnsi="Arial" w:cs="Arial"/>
          <w:sz w:val="22"/>
          <w:szCs w:val="22"/>
        </w:rPr>
      </w:pPr>
    </w:p>
    <w:p w14:paraId="0A54ACD5" w14:textId="77777777" w:rsidR="00327289" w:rsidRDefault="006227DC">
      <w:pPr>
        <w:jc w:val="both"/>
        <w:rPr>
          <w:rFonts w:ascii="Arial" w:eastAsia="Arial" w:hAnsi="Arial" w:cs="Arial"/>
          <w:b/>
          <w:color w:val="000000"/>
          <w:sz w:val="22"/>
          <w:szCs w:val="22"/>
        </w:rPr>
      </w:pPr>
      <w:r>
        <w:rPr>
          <w:rFonts w:ascii="Arial" w:eastAsia="Arial" w:hAnsi="Arial" w:cs="Arial"/>
          <w:b/>
          <w:sz w:val="22"/>
          <w:szCs w:val="22"/>
        </w:rPr>
        <w:t>Gráfica</w:t>
      </w:r>
      <w:r>
        <w:rPr>
          <w:rFonts w:ascii="Arial" w:eastAsia="Arial" w:hAnsi="Arial" w:cs="Arial"/>
          <w:b/>
          <w:color w:val="000000"/>
          <w:sz w:val="22"/>
          <w:szCs w:val="22"/>
        </w:rPr>
        <w:t xml:space="preserve"> 4 etapa de Preparación para la rendición de cuentas</w:t>
      </w:r>
    </w:p>
    <w:p w14:paraId="6D770B58" w14:textId="77777777" w:rsidR="00327289" w:rsidRDefault="00327289">
      <w:pPr>
        <w:jc w:val="both"/>
        <w:rPr>
          <w:rFonts w:ascii="Arial" w:eastAsia="Arial" w:hAnsi="Arial" w:cs="Arial"/>
          <w:sz w:val="22"/>
          <w:szCs w:val="22"/>
        </w:rPr>
      </w:pPr>
    </w:p>
    <w:p w14:paraId="0AFB2700" w14:textId="77777777" w:rsidR="00327289" w:rsidRDefault="006227DC">
      <w:pPr>
        <w:jc w:val="both"/>
        <w:rPr>
          <w:rFonts w:ascii="Arial" w:eastAsia="Arial" w:hAnsi="Arial" w:cs="Arial"/>
          <w:sz w:val="22"/>
          <w:szCs w:val="22"/>
        </w:rPr>
      </w:pPr>
      <w:r>
        <w:rPr>
          <w:rFonts w:ascii="Arial" w:eastAsia="Arial" w:hAnsi="Arial" w:cs="Arial"/>
          <w:noProof/>
          <w:sz w:val="22"/>
          <w:szCs w:val="22"/>
          <w:lang w:val="es-CO"/>
        </w:rPr>
        <w:drawing>
          <wp:inline distT="0" distB="0" distL="0" distR="0" wp14:anchorId="195C50EF" wp14:editId="05999E45">
            <wp:extent cx="5893771" cy="2511643"/>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893771" cy="2511643"/>
                    </a:xfrm>
                    <a:prstGeom prst="rect">
                      <a:avLst/>
                    </a:prstGeom>
                    <a:ln/>
                  </pic:spPr>
                </pic:pic>
              </a:graphicData>
            </a:graphic>
          </wp:inline>
        </w:drawing>
      </w:r>
    </w:p>
    <w:p w14:paraId="6013CEE4" w14:textId="77777777" w:rsidR="00327289" w:rsidRDefault="006227DC">
      <w:pPr>
        <w:jc w:val="both"/>
        <w:rPr>
          <w:rFonts w:ascii="Arial" w:eastAsia="Arial" w:hAnsi="Arial" w:cs="Arial"/>
          <w:sz w:val="22"/>
          <w:szCs w:val="22"/>
        </w:rPr>
      </w:pPr>
      <w:r>
        <w:rPr>
          <w:rFonts w:ascii="Arial" w:eastAsia="Arial" w:hAnsi="Arial" w:cs="Arial"/>
          <w:sz w:val="22"/>
          <w:szCs w:val="22"/>
        </w:rPr>
        <w:lastRenderedPageBreak/>
        <w:t xml:space="preserve">En la gráfica No 4, se muestra que las categorías de Publicación de la información a través de los diferentes canales de comunicación y la convocatoria a los ciudadanos, y grupos de interés para participar en los espacios de diálogo, se encuentran en un nivel de consolidación, teniendo en cuenta que la entidad no realiza la difusión masiva de los informes de rendición de cuentas en emisoras locales o nacionales o espacios televisivos mediante alianzas y cooperación con organismos públicos, regionales e internacionales o particulares, no realiza reuniones preparatorias y acciones de capacitación con líderes de organizaciones sociales y grupos de interés para formular  y ejecutar mecanismos de convocatoria a los espacios de diálogo. Adicionalmente, con los grupos de interés no se han generado acciones de capacitación que fortalezcan los espacios de diálogo. Por otro lado, las categorías de generación y análisis de la información para el diálogo en la rendición de cuentas en lenguaje claro y la preparación de los espacios de diálogo se encuentran en un nivel de perfeccionamiento. </w:t>
      </w:r>
    </w:p>
    <w:p w14:paraId="72F4DAE4" w14:textId="77777777" w:rsidR="00327289" w:rsidRDefault="00327289">
      <w:pPr>
        <w:jc w:val="both"/>
        <w:rPr>
          <w:rFonts w:ascii="Arial" w:eastAsia="Arial" w:hAnsi="Arial" w:cs="Arial"/>
          <w:sz w:val="22"/>
          <w:szCs w:val="22"/>
        </w:rPr>
      </w:pPr>
    </w:p>
    <w:p w14:paraId="367E4368" w14:textId="77777777" w:rsidR="00327289" w:rsidRDefault="00327289">
      <w:pPr>
        <w:jc w:val="both"/>
        <w:rPr>
          <w:rFonts w:ascii="Arial" w:eastAsia="Arial" w:hAnsi="Arial" w:cs="Arial"/>
          <w:sz w:val="22"/>
          <w:szCs w:val="22"/>
        </w:rPr>
      </w:pPr>
    </w:p>
    <w:p w14:paraId="24ECB9E2" w14:textId="77777777" w:rsidR="00327289" w:rsidRDefault="006227DC">
      <w:pPr>
        <w:jc w:val="both"/>
        <w:rPr>
          <w:rFonts w:ascii="Arial" w:eastAsia="Arial" w:hAnsi="Arial" w:cs="Arial"/>
          <w:b/>
          <w:color w:val="000000"/>
          <w:sz w:val="22"/>
          <w:szCs w:val="22"/>
        </w:rPr>
      </w:pPr>
      <w:r>
        <w:rPr>
          <w:rFonts w:ascii="Arial" w:eastAsia="Arial" w:hAnsi="Arial" w:cs="Arial"/>
          <w:b/>
          <w:sz w:val="22"/>
          <w:szCs w:val="22"/>
        </w:rPr>
        <w:t>Gráfica</w:t>
      </w:r>
      <w:r>
        <w:rPr>
          <w:rFonts w:ascii="Arial" w:eastAsia="Arial" w:hAnsi="Arial" w:cs="Arial"/>
          <w:b/>
          <w:color w:val="000000"/>
          <w:sz w:val="22"/>
          <w:szCs w:val="22"/>
        </w:rPr>
        <w:t xml:space="preserve"> 5 etapa de Ejecución de la estrategia de rendición de cuentas</w:t>
      </w:r>
    </w:p>
    <w:p w14:paraId="28A3E96C" w14:textId="77777777" w:rsidR="00327289" w:rsidRDefault="00327289">
      <w:pPr>
        <w:jc w:val="both"/>
        <w:rPr>
          <w:rFonts w:ascii="Arial" w:eastAsia="Arial" w:hAnsi="Arial" w:cs="Arial"/>
          <w:sz w:val="22"/>
          <w:szCs w:val="22"/>
        </w:rPr>
      </w:pPr>
    </w:p>
    <w:p w14:paraId="333E914D" w14:textId="77777777" w:rsidR="00327289" w:rsidRDefault="00327289">
      <w:pPr>
        <w:jc w:val="center"/>
        <w:rPr>
          <w:rFonts w:ascii="Arial" w:eastAsia="Arial" w:hAnsi="Arial" w:cs="Arial"/>
          <w:sz w:val="22"/>
          <w:szCs w:val="22"/>
        </w:rPr>
      </w:pPr>
    </w:p>
    <w:p w14:paraId="0259123D" w14:textId="77777777" w:rsidR="00327289" w:rsidRDefault="006227DC">
      <w:pPr>
        <w:jc w:val="center"/>
        <w:rPr>
          <w:rFonts w:ascii="Arial" w:eastAsia="Arial" w:hAnsi="Arial" w:cs="Arial"/>
          <w:sz w:val="22"/>
          <w:szCs w:val="22"/>
        </w:rPr>
      </w:pPr>
      <w:r>
        <w:rPr>
          <w:rFonts w:ascii="Arial" w:eastAsia="Arial" w:hAnsi="Arial" w:cs="Arial"/>
          <w:noProof/>
          <w:sz w:val="22"/>
          <w:szCs w:val="22"/>
          <w:lang w:val="es-CO"/>
        </w:rPr>
        <w:drawing>
          <wp:inline distT="0" distB="0" distL="0" distR="0" wp14:anchorId="71596E71" wp14:editId="0EEED9CB">
            <wp:extent cx="3956884" cy="1716702"/>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956884" cy="1716702"/>
                    </a:xfrm>
                    <a:prstGeom prst="rect">
                      <a:avLst/>
                    </a:prstGeom>
                    <a:ln/>
                  </pic:spPr>
                </pic:pic>
              </a:graphicData>
            </a:graphic>
          </wp:inline>
        </w:drawing>
      </w:r>
    </w:p>
    <w:p w14:paraId="2E1D6AC7" w14:textId="029EC441" w:rsidR="00327289" w:rsidRDefault="006227DC">
      <w:pPr>
        <w:jc w:val="both"/>
        <w:rPr>
          <w:rFonts w:ascii="Arial" w:eastAsia="Arial" w:hAnsi="Arial" w:cs="Arial"/>
          <w:sz w:val="22"/>
          <w:szCs w:val="22"/>
        </w:rPr>
      </w:pPr>
      <w:r>
        <w:rPr>
          <w:rFonts w:ascii="Arial" w:eastAsia="Arial" w:hAnsi="Arial" w:cs="Arial"/>
          <w:sz w:val="22"/>
          <w:szCs w:val="22"/>
        </w:rPr>
        <w:t xml:space="preserve">En la gráfica No 5 la categoría Realizar espacios de diálogo de rendición de cuentas, se encuentra en el nivel de perfeccionamiento, debido a que se encuentra en proceso de construcción la metodología de diálogo para cada evento, teniendo en cuenta que se tiene una metodología general en la estrategia de Rendición de Cuentas. </w:t>
      </w:r>
    </w:p>
    <w:p w14:paraId="1FDBAD55" w14:textId="22A35BA7" w:rsidR="00317280" w:rsidRDefault="00317280">
      <w:pPr>
        <w:jc w:val="both"/>
        <w:rPr>
          <w:rFonts w:ascii="Arial" w:eastAsia="Arial" w:hAnsi="Arial" w:cs="Arial"/>
          <w:sz w:val="22"/>
          <w:szCs w:val="22"/>
        </w:rPr>
      </w:pPr>
    </w:p>
    <w:p w14:paraId="6FFFDE7F" w14:textId="46079D41" w:rsidR="00317280" w:rsidRDefault="00317280">
      <w:pPr>
        <w:jc w:val="both"/>
        <w:rPr>
          <w:rFonts w:ascii="Arial" w:eastAsia="Arial" w:hAnsi="Arial" w:cs="Arial"/>
          <w:sz w:val="22"/>
          <w:szCs w:val="22"/>
        </w:rPr>
      </w:pPr>
    </w:p>
    <w:p w14:paraId="2D28AED7" w14:textId="0CC83AFC" w:rsidR="00317280" w:rsidRDefault="00317280">
      <w:pPr>
        <w:jc w:val="both"/>
        <w:rPr>
          <w:rFonts w:ascii="Arial" w:eastAsia="Arial" w:hAnsi="Arial" w:cs="Arial"/>
          <w:sz w:val="22"/>
          <w:szCs w:val="22"/>
        </w:rPr>
      </w:pPr>
    </w:p>
    <w:p w14:paraId="788B96F5" w14:textId="1E2B24CD" w:rsidR="00317280" w:rsidRDefault="00317280">
      <w:pPr>
        <w:jc w:val="both"/>
        <w:rPr>
          <w:rFonts w:ascii="Arial" w:eastAsia="Arial" w:hAnsi="Arial" w:cs="Arial"/>
          <w:sz w:val="22"/>
          <w:szCs w:val="22"/>
        </w:rPr>
      </w:pPr>
    </w:p>
    <w:p w14:paraId="782F803F" w14:textId="5157DE6E" w:rsidR="00317280" w:rsidRDefault="00317280">
      <w:pPr>
        <w:jc w:val="both"/>
        <w:rPr>
          <w:rFonts w:ascii="Arial" w:eastAsia="Arial" w:hAnsi="Arial" w:cs="Arial"/>
          <w:sz w:val="22"/>
          <w:szCs w:val="22"/>
        </w:rPr>
      </w:pPr>
    </w:p>
    <w:p w14:paraId="32FD1161" w14:textId="319093E6" w:rsidR="00317280" w:rsidRDefault="00317280">
      <w:pPr>
        <w:jc w:val="both"/>
        <w:rPr>
          <w:rFonts w:ascii="Arial" w:eastAsia="Arial" w:hAnsi="Arial" w:cs="Arial"/>
          <w:sz w:val="22"/>
          <w:szCs w:val="22"/>
        </w:rPr>
      </w:pPr>
    </w:p>
    <w:p w14:paraId="1286BA58" w14:textId="55A78900" w:rsidR="00317280" w:rsidRDefault="00317280">
      <w:pPr>
        <w:jc w:val="both"/>
        <w:rPr>
          <w:rFonts w:ascii="Arial" w:eastAsia="Arial" w:hAnsi="Arial" w:cs="Arial"/>
          <w:sz w:val="22"/>
          <w:szCs w:val="22"/>
        </w:rPr>
      </w:pPr>
    </w:p>
    <w:p w14:paraId="173FA656" w14:textId="7FDCE2D7" w:rsidR="00317280" w:rsidRDefault="00317280">
      <w:pPr>
        <w:jc w:val="both"/>
        <w:rPr>
          <w:rFonts w:ascii="Arial" w:eastAsia="Arial" w:hAnsi="Arial" w:cs="Arial"/>
          <w:sz w:val="22"/>
          <w:szCs w:val="22"/>
        </w:rPr>
      </w:pPr>
    </w:p>
    <w:p w14:paraId="57F75BBF" w14:textId="4787A227" w:rsidR="00317280" w:rsidRDefault="00317280">
      <w:pPr>
        <w:jc w:val="both"/>
        <w:rPr>
          <w:rFonts w:ascii="Arial" w:eastAsia="Arial" w:hAnsi="Arial" w:cs="Arial"/>
          <w:sz w:val="22"/>
          <w:szCs w:val="22"/>
        </w:rPr>
      </w:pPr>
    </w:p>
    <w:p w14:paraId="39647DFF" w14:textId="5F427295" w:rsidR="00317280" w:rsidRDefault="00317280">
      <w:pPr>
        <w:jc w:val="both"/>
        <w:rPr>
          <w:rFonts w:ascii="Arial" w:eastAsia="Arial" w:hAnsi="Arial" w:cs="Arial"/>
          <w:sz w:val="22"/>
          <w:szCs w:val="22"/>
        </w:rPr>
      </w:pPr>
    </w:p>
    <w:p w14:paraId="13329AE5" w14:textId="77777777" w:rsidR="00317280" w:rsidRDefault="00317280">
      <w:pPr>
        <w:jc w:val="both"/>
        <w:rPr>
          <w:rFonts w:ascii="Arial" w:eastAsia="Arial" w:hAnsi="Arial" w:cs="Arial"/>
          <w:sz w:val="22"/>
          <w:szCs w:val="22"/>
        </w:rPr>
      </w:pPr>
    </w:p>
    <w:p w14:paraId="39962C1D" w14:textId="77777777" w:rsidR="00327289" w:rsidRDefault="00327289">
      <w:pPr>
        <w:jc w:val="both"/>
        <w:rPr>
          <w:rFonts w:ascii="Arial" w:eastAsia="Arial" w:hAnsi="Arial" w:cs="Arial"/>
          <w:sz w:val="22"/>
          <w:szCs w:val="22"/>
          <w:highlight w:val="yellow"/>
        </w:rPr>
      </w:pPr>
    </w:p>
    <w:p w14:paraId="51271A84" w14:textId="77777777" w:rsidR="00327289" w:rsidRDefault="006227DC">
      <w:pPr>
        <w:jc w:val="both"/>
        <w:rPr>
          <w:rFonts w:ascii="Arial" w:eastAsia="Arial" w:hAnsi="Arial" w:cs="Arial"/>
          <w:b/>
          <w:color w:val="000000"/>
          <w:sz w:val="22"/>
          <w:szCs w:val="22"/>
        </w:rPr>
      </w:pPr>
      <w:r>
        <w:rPr>
          <w:rFonts w:ascii="Arial" w:eastAsia="Arial" w:hAnsi="Arial" w:cs="Arial"/>
          <w:b/>
          <w:sz w:val="22"/>
          <w:szCs w:val="22"/>
        </w:rPr>
        <w:lastRenderedPageBreak/>
        <w:t>Gráfica</w:t>
      </w:r>
      <w:r>
        <w:rPr>
          <w:rFonts w:ascii="Arial" w:eastAsia="Arial" w:hAnsi="Arial" w:cs="Arial"/>
          <w:b/>
          <w:color w:val="000000"/>
          <w:sz w:val="22"/>
          <w:szCs w:val="22"/>
        </w:rPr>
        <w:t xml:space="preserve"> 6 etapa de Seguimiento y evaluación de la implementación de la estrategia de rendición de cuentas </w:t>
      </w:r>
    </w:p>
    <w:p w14:paraId="64312CD1" w14:textId="77777777" w:rsidR="00327289" w:rsidRDefault="00327289">
      <w:pPr>
        <w:jc w:val="both"/>
        <w:rPr>
          <w:rFonts w:ascii="Arial" w:eastAsia="Arial" w:hAnsi="Arial" w:cs="Arial"/>
          <w:sz w:val="22"/>
          <w:szCs w:val="22"/>
        </w:rPr>
      </w:pPr>
    </w:p>
    <w:p w14:paraId="4D913939" w14:textId="77777777" w:rsidR="00327289" w:rsidRDefault="006227DC">
      <w:pPr>
        <w:jc w:val="center"/>
        <w:rPr>
          <w:rFonts w:ascii="Arial" w:eastAsia="Arial" w:hAnsi="Arial" w:cs="Arial"/>
          <w:sz w:val="22"/>
          <w:szCs w:val="22"/>
        </w:rPr>
      </w:pPr>
      <w:r>
        <w:rPr>
          <w:noProof/>
          <w:lang w:val="es-CO"/>
        </w:rPr>
        <w:drawing>
          <wp:inline distT="0" distB="0" distL="0" distR="0" wp14:anchorId="7C25F438" wp14:editId="57170061">
            <wp:extent cx="3495675" cy="147637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4D1DBE" w14:textId="77777777" w:rsidR="00327289" w:rsidRDefault="00327289">
      <w:pPr>
        <w:jc w:val="both"/>
        <w:rPr>
          <w:rFonts w:ascii="Arial" w:eastAsia="Arial" w:hAnsi="Arial" w:cs="Arial"/>
          <w:sz w:val="22"/>
          <w:szCs w:val="22"/>
        </w:rPr>
      </w:pPr>
    </w:p>
    <w:p w14:paraId="447ADA4A" w14:textId="77777777" w:rsidR="00327289" w:rsidRDefault="006227DC">
      <w:pPr>
        <w:jc w:val="both"/>
        <w:rPr>
          <w:rFonts w:ascii="Arial" w:eastAsia="Arial" w:hAnsi="Arial" w:cs="Arial"/>
          <w:sz w:val="22"/>
          <w:szCs w:val="22"/>
        </w:rPr>
      </w:pPr>
      <w:r>
        <w:rPr>
          <w:rFonts w:ascii="Arial" w:eastAsia="Arial" w:hAnsi="Arial" w:cs="Arial"/>
          <w:sz w:val="22"/>
          <w:szCs w:val="22"/>
        </w:rPr>
        <w:t>Como se muestra en la gráfica 6, la calificación de la categoría Cuantificar el impacto de las acciones de rendición de cuentas para divulgarlos a la ciudadanía, se encuentra en un nivel de consolidación, teniendo en cuenta que se ha avanzado en la documentación de las buenas prácticas de la entidad en materia de espacios de diálogo para la rendición de cuentas y su sistematización como insumo para la formulación de nuevas estrategias de rendición de cuentas De esta manera se evidencia que el resultado de este seguimiento ha mejorado frente a años anteriores. Adicionalmente, el IDEP implementó en la vigencia acciones de cualificación en el proceso de rendición de cuentas, sin embargo, en las acciones de diálogo adelantadas no se referenciaron por parte de los participantes recomendaciones o sugerencias en el tema de capacitación.</w:t>
      </w:r>
    </w:p>
    <w:p w14:paraId="381521AC" w14:textId="77777777" w:rsidR="00327289" w:rsidRDefault="00327289">
      <w:pPr>
        <w:jc w:val="both"/>
        <w:rPr>
          <w:rFonts w:ascii="Arial" w:eastAsia="Arial" w:hAnsi="Arial" w:cs="Arial"/>
          <w:sz w:val="22"/>
          <w:szCs w:val="22"/>
        </w:rPr>
      </w:pPr>
    </w:p>
    <w:p w14:paraId="1DB9A6B1" w14:textId="77777777" w:rsidR="00327289" w:rsidRDefault="006227DC">
      <w:pPr>
        <w:jc w:val="both"/>
        <w:rPr>
          <w:rFonts w:ascii="Arial" w:eastAsia="Arial" w:hAnsi="Arial" w:cs="Arial"/>
          <w:sz w:val="22"/>
          <w:szCs w:val="22"/>
        </w:rPr>
      </w:pPr>
      <w:r>
        <w:rPr>
          <w:rFonts w:ascii="Arial" w:eastAsia="Arial" w:hAnsi="Arial" w:cs="Arial"/>
          <w:sz w:val="22"/>
          <w:szCs w:val="22"/>
        </w:rPr>
        <w:t xml:space="preserve">Teniendo en cuenta lo anterior, el Instituto incorporó en la estrategia de rendición de cuentas para la vigencia 2021 acciones que le permitan cumplir con los estándares en el Modelo Integrado de Planeación y Gestión, atendiendo así a los requerimientos de la ciudadanía y fortaleciendo la participación ciudadana. </w:t>
      </w:r>
    </w:p>
    <w:p w14:paraId="763C9AA8" w14:textId="77777777" w:rsidR="00327289" w:rsidRDefault="006227DC">
      <w:pPr>
        <w:pStyle w:val="Ttulo2"/>
        <w:numPr>
          <w:ilvl w:val="1"/>
          <w:numId w:val="9"/>
        </w:numPr>
        <w:rPr>
          <w:rFonts w:ascii="Arial" w:eastAsia="Arial" w:hAnsi="Arial" w:cs="Arial"/>
          <w:color w:val="000000"/>
          <w:sz w:val="22"/>
          <w:szCs w:val="22"/>
        </w:rPr>
      </w:pPr>
      <w:bookmarkStart w:id="6" w:name="_Toc78483640"/>
      <w:r>
        <w:rPr>
          <w:rFonts w:ascii="Arial" w:eastAsia="Arial" w:hAnsi="Arial" w:cs="Arial"/>
          <w:color w:val="000000"/>
          <w:sz w:val="22"/>
          <w:szCs w:val="22"/>
        </w:rPr>
        <w:t>Presupuesto asociado a las actividades que se implementarán en la entidad para llevar a cabo los ejercicios de rendición de cuentas.</w:t>
      </w:r>
      <w:bookmarkEnd w:id="6"/>
      <w:r>
        <w:rPr>
          <w:rFonts w:ascii="Arial" w:eastAsia="Arial" w:hAnsi="Arial" w:cs="Arial"/>
          <w:color w:val="000000"/>
          <w:sz w:val="22"/>
          <w:szCs w:val="22"/>
        </w:rPr>
        <w:t xml:space="preserve"> </w:t>
      </w:r>
    </w:p>
    <w:p w14:paraId="0E060E61" w14:textId="77777777" w:rsidR="00327289" w:rsidRDefault="00327289">
      <w:pPr>
        <w:rPr>
          <w:rFonts w:ascii="Arial" w:eastAsia="Arial" w:hAnsi="Arial" w:cs="Arial"/>
          <w:sz w:val="22"/>
          <w:szCs w:val="22"/>
        </w:rPr>
      </w:pPr>
    </w:p>
    <w:p w14:paraId="6B990D53" w14:textId="176CF1BA" w:rsidR="00327289" w:rsidRDefault="006227DC" w:rsidP="00DC122F">
      <w:pPr>
        <w:jc w:val="both"/>
        <w:rPr>
          <w:rFonts w:ascii="Arial" w:eastAsia="Arial" w:hAnsi="Arial" w:cs="Arial"/>
          <w:sz w:val="22"/>
          <w:szCs w:val="22"/>
          <w:highlight w:val="white"/>
        </w:rPr>
      </w:pPr>
      <w:r>
        <w:rPr>
          <w:rFonts w:ascii="Arial" w:eastAsia="Arial" w:hAnsi="Arial" w:cs="Arial"/>
          <w:sz w:val="22"/>
          <w:szCs w:val="22"/>
        </w:rPr>
        <w:t xml:space="preserve">De acuerdo con las actividades que se efectuarán en el marco de la Estrategia de Rendición de Cuentas, el presupuesto asignado a la entidad para la </w:t>
      </w:r>
      <w:r w:rsidR="00DC122F">
        <w:rPr>
          <w:rFonts w:ascii="Arial" w:eastAsia="Arial" w:hAnsi="Arial" w:cs="Arial"/>
          <w:sz w:val="22"/>
          <w:szCs w:val="22"/>
        </w:rPr>
        <w:t>vigencia</w:t>
      </w:r>
      <w:r>
        <w:rPr>
          <w:rFonts w:ascii="Arial" w:eastAsia="Arial" w:hAnsi="Arial" w:cs="Arial"/>
          <w:sz w:val="22"/>
          <w:szCs w:val="22"/>
        </w:rPr>
        <w:t xml:space="preserve"> atiende la necesidad del proceso de rendición de cuentas. De igual manera, el IDEP por pertenecer al Distrito, acoge las directrices del A</w:t>
      </w:r>
      <w:r>
        <w:rPr>
          <w:rFonts w:ascii="Arial" w:eastAsia="Arial" w:hAnsi="Arial" w:cs="Arial"/>
          <w:sz w:val="22"/>
          <w:szCs w:val="22"/>
          <w:highlight w:val="white"/>
        </w:rPr>
        <w:t xml:space="preserve">cuerdo No 719 de 2018 del Concejo de Bogotá, en el cual se establece los lineamientos generales para promover medidas de austeridad y transparencia del gasto público en las entidades del orden distrital. </w:t>
      </w:r>
    </w:p>
    <w:p w14:paraId="49821854" w14:textId="1EEC2B5B" w:rsidR="00317280" w:rsidRDefault="00317280" w:rsidP="00DC122F">
      <w:pPr>
        <w:jc w:val="both"/>
        <w:rPr>
          <w:rFonts w:ascii="Arial" w:eastAsia="Arial" w:hAnsi="Arial" w:cs="Arial"/>
          <w:sz w:val="22"/>
          <w:szCs w:val="22"/>
          <w:highlight w:val="white"/>
        </w:rPr>
      </w:pPr>
    </w:p>
    <w:p w14:paraId="6547F78E" w14:textId="2D5F84C1" w:rsidR="00317280" w:rsidRDefault="00317280" w:rsidP="00DC122F">
      <w:pPr>
        <w:jc w:val="both"/>
        <w:rPr>
          <w:rFonts w:ascii="Arial" w:eastAsia="Arial" w:hAnsi="Arial" w:cs="Arial"/>
          <w:sz w:val="22"/>
          <w:szCs w:val="22"/>
          <w:highlight w:val="white"/>
        </w:rPr>
      </w:pPr>
    </w:p>
    <w:p w14:paraId="44749995" w14:textId="011025C6" w:rsidR="00317280" w:rsidRDefault="00317280" w:rsidP="00DC122F">
      <w:pPr>
        <w:jc w:val="both"/>
        <w:rPr>
          <w:rFonts w:ascii="Arial" w:eastAsia="Arial" w:hAnsi="Arial" w:cs="Arial"/>
          <w:sz w:val="22"/>
          <w:szCs w:val="22"/>
          <w:highlight w:val="white"/>
        </w:rPr>
      </w:pPr>
    </w:p>
    <w:p w14:paraId="6385DB7E" w14:textId="77777777" w:rsidR="00317280" w:rsidRDefault="00317280" w:rsidP="00DC122F">
      <w:pPr>
        <w:jc w:val="both"/>
        <w:rPr>
          <w:rFonts w:ascii="Arial" w:eastAsia="Arial" w:hAnsi="Arial" w:cs="Arial"/>
          <w:sz w:val="22"/>
          <w:szCs w:val="22"/>
          <w:highlight w:val="white"/>
        </w:rPr>
      </w:pPr>
    </w:p>
    <w:p w14:paraId="69A10DEE" w14:textId="77777777" w:rsidR="00327289" w:rsidRDefault="006227DC">
      <w:pPr>
        <w:pStyle w:val="Ttulo1"/>
        <w:numPr>
          <w:ilvl w:val="0"/>
          <w:numId w:val="9"/>
        </w:numPr>
        <w:spacing w:line="240" w:lineRule="auto"/>
        <w:jc w:val="left"/>
        <w:rPr>
          <w:sz w:val="22"/>
          <w:szCs w:val="22"/>
        </w:rPr>
      </w:pPr>
      <w:bookmarkStart w:id="7" w:name="_Toc78483641"/>
      <w:r>
        <w:rPr>
          <w:sz w:val="22"/>
          <w:szCs w:val="22"/>
        </w:rPr>
        <w:lastRenderedPageBreak/>
        <w:t>ELEMENTOS DE LA RENDICIÓN DE CUENTAS</w:t>
      </w:r>
      <w:bookmarkEnd w:id="7"/>
    </w:p>
    <w:p w14:paraId="62A04923" w14:textId="77777777" w:rsidR="00327289" w:rsidRDefault="00327289">
      <w:pPr>
        <w:pBdr>
          <w:top w:val="nil"/>
          <w:left w:val="nil"/>
          <w:bottom w:val="nil"/>
          <w:right w:val="nil"/>
          <w:between w:val="nil"/>
        </w:pBdr>
        <w:jc w:val="center"/>
        <w:rPr>
          <w:rFonts w:ascii="Arial" w:eastAsia="Arial" w:hAnsi="Arial" w:cs="Arial"/>
          <w:color w:val="000000"/>
          <w:sz w:val="22"/>
          <w:szCs w:val="22"/>
        </w:rPr>
      </w:pPr>
    </w:p>
    <w:p w14:paraId="3A22B036" w14:textId="085403D2" w:rsidR="00327289" w:rsidRDefault="006227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rendición de cuentas de</w:t>
      </w:r>
      <w:r w:rsidR="004576E9">
        <w:rPr>
          <w:rFonts w:ascii="Arial" w:eastAsia="Arial" w:hAnsi="Arial" w:cs="Arial"/>
          <w:color w:val="000000"/>
          <w:sz w:val="22"/>
          <w:szCs w:val="22"/>
        </w:rPr>
        <w:t xml:space="preserve">l IDEP </w:t>
      </w:r>
      <w:r>
        <w:rPr>
          <w:rFonts w:ascii="Arial" w:eastAsia="Arial" w:hAnsi="Arial" w:cs="Arial"/>
          <w:color w:val="000000"/>
          <w:sz w:val="22"/>
          <w:szCs w:val="22"/>
        </w:rPr>
        <w:t>cumpl</w:t>
      </w:r>
      <w:r w:rsidR="004576E9">
        <w:rPr>
          <w:rFonts w:ascii="Arial" w:eastAsia="Arial" w:hAnsi="Arial" w:cs="Arial"/>
          <w:color w:val="000000"/>
          <w:sz w:val="22"/>
          <w:szCs w:val="22"/>
        </w:rPr>
        <w:t>e</w:t>
      </w:r>
      <w:r>
        <w:rPr>
          <w:rFonts w:ascii="Arial" w:eastAsia="Arial" w:hAnsi="Arial" w:cs="Arial"/>
          <w:color w:val="000000"/>
          <w:sz w:val="22"/>
          <w:szCs w:val="22"/>
        </w:rPr>
        <w:t xml:space="preserve"> con</w:t>
      </w:r>
      <w:r w:rsidR="004576E9">
        <w:rPr>
          <w:rFonts w:ascii="Arial" w:eastAsia="Arial" w:hAnsi="Arial" w:cs="Arial"/>
          <w:color w:val="000000"/>
          <w:sz w:val="22"/>
          <w:szCs w:val="22"/>
        </w:rPr>
        <w:t xml:space="preserve"> los</w:t>
      </w:r>
      <w:r>
        <w:rPr>
          <w:rFonts w:ascii="Arial" w:eastAsia="Arial" w:hAnsi="Arial" w:cs="Arial"/>
          <w:color w:val="000000"/>
          <w:sz w:val="22"/>
          <w:szCs w:val="22"/>
        </w:rPr>
        <w:t xml:space="preserve"> tres elementos fundamentales para garantizar la responsabilidad pública y el derecho ciudadano a controlar la gestión:</w:t>
      </w:r>
    </w:p>
    <w:p w14:paraId="5FCEE20E" w14:textId="77777777" w:rsidR="00327289" w:rsidRDefault="00327289">
      <w:pPr>
        <w:jc w:val="both"/>
        <w:rPr>
          <w:rFonts w:ascii="Arial" w:eastAsia="Arial" w:hAnsi="Arial" w:cs="Arial"/>
          <w:sz w:val="22"/>
          <w:szCs w:val="22"/>
        </w:rPr>
      </w:pPr>
    </w:p>
    <w:p w14:paraId="1EC31625" w14:textId="77777777" w:rsidR="00327289" w:rsidRDefault="00327289">
      <w:pPr>
        <w:jc w:val="both"/>
        <w:rPr>
          <w:rFonts w:ascii="Arial" w:eastAsia="Arial" w:hAnsi="Arial" w:cs="Arial"/>
          <w:sz w:val="22"/>
          <w:szCs w:val="22"/>
        </w:rPr>
      </w:pPr>
    </w:p>
    <w:p w14:paraId="3D3541DD" w14:textId="77777777" w:rsidR="00327289" w:rsidRDefault="006227DC">
      <w:pPr>
        <w:jc w:val="center"/>
        <w:rPr>
          <w:rFonts w:ascii="Arial" w:eastAsia="Arial" w:hAnsi="Arial" w:cs="Arial"/>
          <w:sz w:val="22"/>
          <w:szCs w:val="22"/>
        </w:rPr>
      </w:pPr>
      <w:r>
        <w:rPr>
          <w:noProof/>
          <w:lang w:val="es-CO"/>
        </w:rPr>
        <w:drawing>
          <wp:inline distT="0" distB="0" distL="0" distR="0" wp14:anchorId="287662C8" wp14:editId="60B84874">
            <wp:extent cx="5276850" cy="3557607"/>
            <wp:effectExtent l="0" t="0" r="0" b="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276850" cy="3557607"/>
                    </a:xfrm>
                    <a:prstGeom prst="rect">
                      <a:avLst/>
                    </a:prstGeom>
                    <a:ln/>
                  </pic:spPr>
                </pic:pic>
              </a:graphicData>
            </a:graphic>
          </wp:inline>
        </w:drawing>
      </w:r>
    </w:p>
    <w:p w14:paraId="3F2C8C82" w14:textId="77777777" w:rsidR="00327289" w:rsidRDefault="006227DC">
      <w:pPr>
        <w:jc w:val="right"/>
        <w:rPr>
          <w:rFonts w:ascii="Arial" w:eastAsia="Arial" w:hAnsi="Arial" w:cs="Arial"/>
        </w:rPr>
      </w:pPr>
      <w:r>
        <w:rPr>
          <w:rFonts w:ascii="Arial" w:eastAsia="Arial" w:hAnsi="Arial" w:cs="Arial"/>
        </w:rPr>
        <w:t>Fuente: Manual Único de Rendición de Cuentas</w:t>
      </w:r>
    </w:p>
    <w:p w14:paraId="2B172D2C" w14:textId="77777777" w:rsidR="00327289" w:rsidRDefault="006227DC">
      <w:pPr>
        <w:rPr>
          <w:rFonts w:ascii="Arial" w:eastAsia="Arial" w:hAnsi="Arial" w:cs="Arial"/>
        </w:rPr>
      </w:pPr>
      <w:r>
        <w:br w:type="page"/>
      </w:r>
    </w:p>
    <w:p w14:paraId="332CB193" w14:textId="77777777" w:rsidR="00327289" w:rsidRDefault="00327289">
      <w:pPr>
        <w:jc w:val="right"/>
        <w:rPr>
          <w:rFonts w:ascii="Arial" w:eastAsia="Arial" w:hAnsi="Arial" w:cs="Arial"/>
        </w:rPr>
      </w:pPr>
    </w:p>
    <w:p w14:paraId="54A51DE8" w14:textId="77777777" w:rsidR="00327289" w:rsidRDefault="006227DC">
      <w:pPr>
        <w:pStyle w:val="Ttulo1"/>
        <w:numPr>
          <w:ilvl w:val="0"/>
          <w:numId w:val="9"/>
        </w:numPr>
        <w:spacing w:line="240" w:lineRule="auto"/>
        <w:jc w:val="left"/>
        <w:rPr>
          <w:sz w:val="22"/>
          <w:szCs w:val="22"/>
        </w:rPr>
      </w:pPr>
      <w:bookmarkStart w:id="8" w:name="_Toc78483642"/>
      <w:r>
        <w:rPr>
          <w:sz w:val="22"/>
          <w:szCs w:val="22"/>
        </w:rPr>
        <w:t>RUTA METODOLÓGICA PARA LA RENDICIÓN DE CUENTAS</w:t>
      </w:r>
      <w:bookmarkEnd w:id="8"/>
    </w:p>
    <w:p w14:paraId="5D792E63" w14:textId="77777777" w:rsidR="00327289" w:rsidRDefault="00327289">
      <w:pPr>
        <w:pBdr>
          <w:top w:val="nil"/>
          <w:left w:val="nil"/>
          <w:bottom w:val="nil"/>
          <w:right w:val="nil"/>
          <w:between w:val="nil"/>
        </w:pBdr>
        <w:ind w:left="720"/>
        <w:rPr>
          <w:rFonts w:ascii="Arial" w:eastAsia="Arial" w:hAnsi="Arial" w:cs="Arial"/>
          <w:color w:val="000000"/>
          <w:sz w:val="22"/>
          <w:szCs w:val="22"/>
        </w:rPr>
      </w:pPr>
    </w:p>
    <w:p w14:paraId="0CF57564" w14:textId="77777777" w:rsidR="00327289" w:rsidRDefault="006227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Una vez contemplados los elementos fundamentales de la rendición de cuentas es importante desarrollar las siguientes etapas para cumplir el objetivo de la entidad frente al informe de su gestión ante la ciudadanía y partes interesadas.</w:t>
      </w:r>
    </w:p>
    <w:p w14:paraId="3FA5469C" w14:textId="77777777" w:rsidR="00327289" w:rsidRDefault="006227DC">
      <w:pPr>
        <w:pBdr>
          <w:top w:val="nil"/>
          <w:left w:val="nil"/>
          <w:bottom w:val="nil"/>
          <w:right w:val="nil"/>
          <w:between w:val="nil"/>
        </w:pBdr>
        <w:ind w:left="284"/>
        <w:jc w:val="center"/>
        <w:rPr>
          <w:rFonts w:ascii="Arial" w:eastAsia="Arial" w:hAnsi="Arial" w:cs="Arial"/>
          <w:color w:val="000000"/>
          <w:sz w:val="22"/>
          <w:szCs w:val="22"/>
        </w:rPr>
      </w:pPr>
      <w:r>
        <w:rPr>
          <w:rFonts w:ascii="Calibri" w:eastAsia="Calibri" w:hAnsi="Calibri" w:cs="Calibri"/>
          <w:noProof/>
          <w:color w:val="000000"/>
          <w:sz w:val="22"/>
          <w:szCs w:val="22"/>
          <w:lang w:val="es-CO"/>
        </w:rPr>
        <w:drawing>
          <wp:inline distT="0" distB="0" distL="0" distR="0" wp14:anchorId="18C07404" wp14:editId="2A2F8A2E">
            <wp:extent cx="4499181" cy="4042133"/>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499181" cy="4042133"/>
                    </a:xfrm>
                    <a:prstGeom prst="rect">
                      <a:avLst/>
                    </a:prstGeom>
                    <a:ln/>
                  </pic:spPr>
                </pic:pic>
              </a:graphicData>
            </a:graphic>
          </wp:inline>
        </w:drawing>
      </w:r>
    </w:p>
    <w:p w14:paraId="42929AE0" w14:textId="77777777" w:rsidR="00327289" w:rsidRDefault="006227DC">
      <w:pPr>
        <w:pBdr>
          <w:top w:val="nil"/>
          <w:left w:val="nil"/>
          <w:bottom w:val="nil"/>
          <w:right w:val="nil"/>
          <w:between w:val="nil"/>
        </w:pBdr>
        <w:ind w:left="284"/>
        <w:jc w:val="right"/>
        <w:rPr>
          <w:rFonts w:ascii="Arial" w:eastAsia="Arial" w:hAnsi="Arial" w:cs="Arial"/>
          <w:color w:val="000000"/>
          <w:sz w:val="22"/>
          <w:szCs w:val="22"/>
        </w:rPr>
      </w:pPr>
      <w:r>
        <w:rPr>
          <w:rFonts w:ascii="Arial" w:eastAsia="Arial" w:hAnsi="Arial" w:cs="Arial"/>
          <w:color w:val="000000"/>
        </w:rPr>
        <w:t>Fuente: Manual Único de Rendición de Cuentas</w:t>
      </w:r>
    </w:p>
    <w:p w14:paraId="0D4C52CD" w14:textId="77777777" w:rsidR="00327289" w:rsidRDefault="006227DC">
      <w:pPr>
        <w:pStyle w:val="Ttulo2"/>
        <w:numPr>
          <w:ilvl w:val="1"/>
          <w:numId w:val="9"/>
        </w:numPr>
        <w:rPr>
          <w:rFonts w:ascii="Arial" w:eastAsia="Arial" w:hAnsi="Arial" w:cs="Arial"/>
          <w:color w:val="000000"/>
          <w:sz w:val="22"/>
          <w:szCs w:val="22"/>
        </w:rPr>
      </w:pPr>
      <w:bookmarkStart w:id="9" w:name="_Toc78483643"/>
      <w:r>
        <w:rPr>
          <w:rFonts w:ascii="Arial" w:eastAsia="Arial" w:hAnsi="Arial" w:cs="Arial"/>
          <w:color w:val="000000"/>
          <w:sz w:val="22"/>
          <w:szCs w:val="22"/>
        </w:rPr>
        <w:t>Aprestamiento</w:t>
      </w:r>
      <w:bookmarkEnd w:id="9"/>
    </w:p>
    <w:p w14:paraId="44114AA1" w14:textId="77777777" w:rsidR="00327289" w:rsidRDefault="00327289">
      <w:pPr>
        <w:jc w:val="both"/>
        <w:rPr>
          <w:rFonts w:ascii="Arial" w:eastAsia="Arial" w:hAnsi="Arial" w:cs="Arial"/>
          <w:sz w:val="22"/>
          <w:szCs w:val="22"/>
        </w:rPr>
      </w:pPr>
    </w:p>
    <w:p w14:paraId="6668D941" w14:textId="77777777" w:rsidR="00327289" w:rsidRDefault="006227DC">
      <w:pPr>
        <w:jc w:val="both"/>
        <w:rPr>
          <w:rFonts w:ascii="Arial" w:eastAsia="Arial" w:hAnsi="Arial" w:cs="Arial"/>
          <w:sz w:val="22"/>
          <w:szCs w:val="22"/>
        </w:rPr>
      </w:pPr>
      <w:r>
        <w:rPr>
          <w:rFonts w:ascii="Arial" w:eastAsia="Arial" w:hAnsi="Arial" w:cs="Arial"/>
          <w:sz w:val="22"/>
          <w:szCs w:val="22"/>
        </w:rPr>
        <w:t xml:space="preserve">Consiste en la organización gradual y permanente de actividades y experiencias que promueven la cultura de la rendición de cuentas al interior de la entidad y en el relacionamiento con los grupos de valor. Está conformada por actividades de identificación del estado actual de rendición de cuentas, capacitación, y organización del trabajo del equipo líder. </w:t>
      </w:r>
    </w:p>
    <w:p w14:paraId="5F63797D" w14:textId="77777777" w:rsidR="00327289" w:rsidRDefault="00327289">
      <w:pPr>
        <w:jc w:val="both"/>
        <w:rPr>
          <w:rFonts w:ascii="Arial" w:eastAsia="Arial" w:hAnsi="Arial" w:cs="Arial"/>
          <w:sz w:val="22"/>
          <w:szCs w:val="22"/>
        </w:rPr>
      </w:pPr>
    </w:p>
    <w:p w14:paraId="06389950" w14:textId="77777777" w:rsidR="00327289" w:rsidRDefault="006227DC">
      <w:pPr>
        <w:jc w:val="both"/>
        <w:rPr>
          <w:rFonts w:ascii="Arial" w:eastAsia="Arial" w:hAnsi="Arial" w:cs="Arial"/>
          <w:sz w:val="22"/>
          <w:szCs w:val="22"/>
        </w:rPr>
      </w:pPr>
      <w:r>
        <w:rPr>
          <w:rFonts w:ascii="Arial" w:eastAsia="Arial" w:hAnsi="Arial" w:cs="Arial"/>
          <w:sz w:val="22"/>
          <w:szCs w:val="22"/>
        </w:rPr>
        <w:t>Teniendo en cuenta el mapa de procesos definido y publicado en la página web de la entidad, en la sección MALOCA AULASIG-MIPG, las actividades que se definan dentro de esta estrategia tendrán el correspondiente responsable de apoyar el proceso de Rendición de Cuentas al interior de sus áreas.</w:t>
      </w:r>
    </w:p>
    <w:p w14:paraId="2AF4E79C" w14:textId="7D5DB400" w:rsidR="00327289" w:rsidRPr="004576E9" w:rsidRDefault="004576E9" w:rsidP="004576E9">
      <w:pPr>
        <w:pStyle w:val="Ttulo3"/>
        <w:ind w:left="720"/>
        <w:rPr>
          <w:rFonts w:ascii="Arial" w:eastAsia="Arial" w:hAnsi="Arial" w:cs="Arial"/>
          <w:color w:val="000000"/>
          <w:sz w:val="22"/>
          <w:szCs w:val="22"/>
        </w:rPr>
      </w:pPr>
      <w:bookmarkStart w:id="10" w:name="_Toc78483644"/>
      <w:r>
        <w:rPr>
          <w:rFonts w:ascii="Arial" w:eastAsia="Arial" w:hAnsi="Arial" w:cs="Arial"/>
          <w:color w:val="000000"/>
          <w:sz w:val="22"/>
          <w:szCs w:val="22"/>
        </w:rPr>
        <w:lastRenderedPageBreak/>
        <w:t xml:space="preserve">3.1.1 </w:t>
      </w:r>
      <w:r w:rsidR="006227DC" w:rsidRPr="004576E9">
        <w:rPr>
          <w:rFonts w:ascii="Arial" w:eastAsia="Arial" w:hAnsi="Arial" w:cs="Arial"/>
          <w:color w:val="000000"/>
          <w:sz w:val="22"/>
          <w:szCs w:val="22"/>
        </w:rPr>
        <w:t>Equipo que lidera el proceso de rendición de cuentas</w:t>
      </w:r>
      <w:bookmarkEnd w:id="10"/>
      <w:r w:rsidR="006227DC" w:rsidRPr="004576E9">
        <w:rPr>
          <w:rFonts w:ascii="Arial" w:eastAsia="Arial" w:hAnsi="Arial" w:cs="Arial"/>
          <w:color w:val="000000"/>
          <w:sz w:val="22"/>
          <w:szCs w:val="22"/>
        </w:rPr>
        <w:t xml:space="preserve"> </w:t>
      </w:r>
    </w:p>
    <w:p w14:paraId="10660632" w14:textId="77777777" w:rsidR="00327289" w:rsidRDefault="00327289">
      <w:pPr>
        <w:pBdr>
          <w:top w:val="nil"/>
          <w:left w:val="nil"/>
          <w:bottom w:val="nil"/>
          <w:right w:val="nil"/>
          <w:between w:val="nil"/>
        </w:pBdr>
        <w:ind w:left="1080"/>
        <w:rPr>
          <w:rFonts w:ascii="Arial" w:eastAsia="Arial" w:hAnsi="Arial" w:cs="Arial"/>
          <w:b/>
          <w:color w:val="000000"/>
          <w:sz w:val="22"/>
          <w:szCs w:val="22"/>
        </w:rPr>
      </w:pPr>
    </w:p>
    <w:p w14:paraId="35085A52" w14:textId="77777777" w:rsidR="00327289" w:rsidRDefault="006227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el IDEP el desarrollo y ejecución del proceso de rendición de cuentas es responsabilidad de todas las oficinas y subdirecciones junto con sus equipos de trabajo. </w:t>
      </w:r>
    </w:p>
    <w:p w14:paraId="1C7DD16F" w14:textId="77777777" w:rsidR="00327289" w:rsidRDefault="00327289">
      <w:pPr>
        <w:pBdr>
          <w:top w:val="nil"/>
          <w:left w:val="nil"/>
          <w:bottom w:val="nil"/>
          <w:right w:val="nil"/>
          <w:between w:val="nil"/>
        </w:pBdr>
        <w:jc w:val="both"/>
        <w:rPr>
          <w:rFonts w:ascii="Arial" w:eastAsia="Arial" w:hAnsi="Arial" w:cs="Arial"/>
          <w:color w:val="000000"/>
          <w:sz w:val="22"/>
          <w:szCs w:val="22"/>
        </w:rPr>
      </w:pPr>
    </w:p>
    <w:p w14:paraId="21D85A68" w14:textId="77777777" w:rsidR="00327289" w:rsidRDefault="006227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oficina Asesora de Planeación es la encargada de liderar, organizar, planear y hacer seguimiento a este proceso y la Oficina de Control Interno es responsable de verificar y validar los lineamientos y normas aplicables al mismo.</w:t>
      </w:r>
    </w:p>
    <w:p w14:paraId="0410FB69" w14:textId="77777777" w:rsidR="00327289" w:rsidRDefault="00327289">
      <w:pPr>
        <w:pBdr>
          <w:top w:val="nil"/>
          <w:left w:val="nil"/>
          <w:bottom w:val="nil"/>
          <w:right w:val="nil"/>
          <w:between w:val="nil"/>
        </w:pBdr>
        <w:jc w:val="both"/>
        <w:rPr>
          <w:rFonts w:ascii="Arial" w:eastAsia="Arial" w:hAnsi="Arial" w:cs="Arial"/>
          <w:color w:val="000000"/>
          <w:sz w:val="22"/>
          <w:szCs w:val="22"/>
        </w:rPr>
      </w:pPr>
    </w:p>
    <w:p w14:paraId="1A89A464" w14:textId="6FEA20EB" w:rsidR="00327289" w:rsidRPr="004576E9" w:rsidRDefault="004576E9" w:rsidP="004576E9">
      <w:pPr>
        <w:pStyle w:val="Ttulo3"/>
        <w:ind w:left="720"/>
        <w:rPr>
          <w:rFonts w:ascii="Arial" w:eastAsia="Arial" w:hAnsi="Arial" w:cs="Arial"/>
          <w:color w:val="000000"/>
          <w:sz w:val="22"/>
          <w:szCs w:val="22"/>
        </w:rPr>
      </w:pPr>
      <w:bookmarkStart w:id="11" w:name="_Toc78483645"/>
      <w:r>
        <w:rPr>
          <w:rFonts w:ascii="Arial" w:eastAsia="Arial" w:hAnsi="Arial" w:cs="Arial"/>
          <w:color w:val="000000"/>
          <w:sz w:val="22"/>
          <w:szCs w:val="22"/>
        </w:rPr>
        <w:t xml:space="preserve">3.1.2 </w:t>
      </w:r>
      <w:r w:rsidR="006227DC" w:rsidRPr="004576E9">
        <w:rPr>
          <w:rFonts w:ascii="Arial" w:eastAsia="Arial" w:hAnsi="Arial" w:cs="Arial"/>
          <w:color w:val="000000"/>
          <w:sz w:val="22"/>
          <w:szCs w:val="22"/>
        </w:rPr>
        <w:t>Grupos de valor, grupos de interés y partes interesadas</w:t>
      </w:r>
      <w:bookmarkEnd w:id="11"/>
    </w:p>
    <w:p w14:paraId="2D74617A" w14:textId="77777777" w:rsidR="00327289" w:rsidRDefault="00327289">
      <w:pPr>
        <w:pBdr>
          <w:top w:val="nil"/>
          <w:left w:val="nil"/>
          <w:bottom w:val="nil"/>
          <w:right w:val="nil"/>
          <w:between w:val="nil"/>
        </w:pBdr>
        <w:jc w:val="both"/>
        <w:rPr>
          <w:rFonts w:ascii="Arial" w:eastAsia="Arial" w:hAnsi="Arial" w:cs="Arial"/>
          <w:color w:val="000000"/>
          <w:sz w:val="22"/>
          <w:szCs w:val="22"/>
        </w:rPr>
      </w:pPr>
    </w:p>
    <w:p w14:paraId="64CC544B" w14:textId="2CE811CA" w:rsidR="00327289" w:rsidRDefault="006227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IDEP, teniendo en cuenta su misionalidad y servicios prestados a la ciudadanía, identifica como usuarios y partes interesadas a:</w:t>
      </w:r>
    </w:p>
    <w:p w14:paraId="5DFF4FAB" w14:textId="26A0326F" w:rsidR="00DC122F" w:rsidRDefault="00DC122F">
      <w:pPr>
        <w:pBdr>
          <w:top w:val="nil"/>
          <w:left w:val="nil"/>
          <w:bottom w:val="nil"/>
          <w:right w:val="nil"/>
          <w:between w:val="nil"/>
        </w:pBdr>
        <w:jc w:val="both"/>
        <w:rPr>
          <w:rFonts w:ascii="Arial" w:eastAsia="Arial" w:hAnsi="Arial" w:cs="Arial"/>
          <w:color w:val="000000"/>
          <w:sz w:val="22"/>
          <w:szCs w:val="22"/>
        </w:rPr>
      </w:pP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2776"/>
        <w:gridCol w:w="4856"/>
      </w:tblGrid>
      <w:tr w:rsidR="00DC122F" w14:paraId="6B0750EA" w14:textId="77777777" w:rsidTr="008554A6">
        <w:trPr>
          <w:trHeight w:val="509"/>
        </w:trPr>
        <w:tc>
          <w:tcPr>
            <w:tcW w:w="1147" w:type="dxa"/>
            <w:vMerge w:val="restart"/>
            <w:vAlign w:val="center"/>
          </w:tcPr>
          <w:p w14:paraId="3667AA0B" w14:textId="77777777" w:rsidR="00DC122F" w:rsidRDefault="00DC122F" w:rsidP="008554A6">
            <w:pPr>
              <w:jc w:val="center"/>
              <w:rPr>
                <w:rFonts w:ascii="Arial" w:eastAsia="Arial" w:hAnsi="Arial" w:cs="Arial"/>
                <w:b/>
                <w:color w:val="000000"/>
                <w:sz w:val="18"/>
                <w:szCs w:val="18"/>
              </w:rPr>
            </w:pPr>
            <w:r>
              <w:rPr>
                <w:rFonts w:ascii="Arial" w:eastAsia="Arial" w:hAnsi="Arial" w:cs="Arial"/>
                <w:b/>
                <w:color w:val="000000"/>
                <w:sz w:val="18"/>
                <w:szCs w:val="18"/>
              </w:rPr>
              <w:t>Categoría</w:t>
            </w:r>
          </w:p>
        </w:tc>
        <w:tc>
          <w:tcPr>
            <w:tcW w:w="2776" w:type="dxa"/>
            <w:vMerge w:val="restart"/>
            <w:vAlign w:val="center"/>
          </w:tcPr>
          <w:p w14:paraId="41F32B35" w14:textId="77777777" w:rsidR="00DC122F" w:rsidRDefault="00DC122F" w:rsidP="008554A6">
            <w:pPr>
              <w:jc w:val="center"/>
              <w:rPr>
                <w:rFonts w:ascii="Arial" w:eastAsia="Arial" w:hAnsi="Arial" w:cs="Arial"/>
                <w:b/>
                <w:color w:val="000000"/>
                <w:sz w:val="18"/>
                <w:szCs w:val="18"/>
              </w:rPr>
            </w:pPr>
            <w:r>
              <w:rPr>
                <w:rFonts w:ascii="Arial" w:eastAsia="Arial" w:hAnsi="Arial" w:cs="Arial"/>
                <w:b/>
                <w:color w:val="000000"/>
                <w:sz w:val="18"/>
                <w:szCs w:val="18"/>
              </w:rPr>
              <w:t>Caracterización</w:t>
            </w:r>
          </w:p>
        </w:tc>
        <w:tc>
          <w:tcPr>
            <w:tcW w:w="4856" w:type="dxa"/>
            <w:vMerge w:val="restart"/>
            <w:vAlign w:val="center"/>
          </w:tcPr>
          <w:p w14:paraId="28CD6779" w14:textId="77777777" w:rsidR="00DC122F" w:rsidRDefault="00DC122F" w:rsidP="008554A6">
            <w:pPr>
              <w:jc w:val="center"/>
              <w:rPr>
                <w:rFonts w:ascii="Arial" w:eastAsia="Arial" w:hAnsi="Arial" w:cs="Arial"/>
                <w:b/>
                <w:color w:val="000000"/>
                <w:sz w:val="18"/>
                <w:szCs w:val="18"/>
              </w:rPr>
            </w:pPr>
            <w:r>
              <w:rPr>
                <w:rFonts w:ascii="Arial" w:eastAsia="Arial" w:hAnsi="Arial" w:cs="Arial"/>
                <w:b/>
                <w:color w:val="000000"/>
                <w:sz w:val="18"/>
                <w:szCs w:val="18"/>
              </w:rPr>
              <w:t>Descripción de la población</w:t>
            </w:r>
          </w:p>
        </w:tc>
      </w:tr>
      <w:tr w:rsidR="00DC122F" w14:paraId="28527B48" w14:textId="77777777" w:rsidTr="008554A6">
        <w:trPr>
          <w:trHeight w:val="509"/>
        </w:trPr>
        <w:tc>
          <w:tcPr>
            <w:tcW w:w="1147" w:type="dxa"/>
            <w:vMerge/>
            <w:vAlign w:val="center"/>
          </w:tcPr>
          <w:p w14:paraId="12B8178C" w14:textId="77777777" w:rsidR="00DC122F" w:rsidRDefault="00DC122F" w:rsidP="008554A6">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776" w:type="dxa"/>
            <w:vMerge/>
            <w:vAlign w:val="center"/>
          </w:tcPr>
          <w:p w14:paraId="3B6C171F" w14:textId="77777777" w:rsidR="00DC122F" w:rsidRDefault="00DC122F" w:rsidP="008554A6">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4856" w:type="dxa"/>
            <w:vMerge/>
            <w:vAlign w:val="center"/>
          </w:tcPr>
          <w:p w14:paraId="3CBFE21E" w14:textId="77777777" w:rsidR="00DC122F" w:rsidRDefault="00DC122F" w:rsidP="008554A6">
            <w:pPr>
              <w:widowControl w:val="0"/>
              <w:pBdr>
                <w:top w:val="nil"/>
                <w:left w:val="nil"/>
                <w:bottom w:val="nil"/>
                <w:right w:val="nil"/>
                <w:between w:val="nil"/>
              </w:pBdr>
              <w:spacing w:line="276" w:lineRule="auto"/>
              <w:rPr>
                <w:rFonts w:ascii="Arial" w:eastAsia="Arial" w:hAnsi="Arial" w:cs="Arial"/>
                <w:b/>
                <w:color w:val="000000"/>
                <w:sz w:val="18"/>
                <w:szCs w:val="18"/>
              </w:rPr>
            </w:pPr>
          </w:p>
        </w:tc>
      </w:tr>
      <w:tr w:rsidR="00DC122F" w14:paraId="1990CDF0" w14:textId="77777777" w:rsidTr="008554A6">
        <w:trPr>
          <w:trHeight w:val="335"/>
        </w:trPr>
        <w:tc>
          <w:tcPr>
            <w:tcW w:w="1147" w:type="dxa"/>
            <w:vMerge w:val="restart"/>
            <w:vAlign w:val="center"/>
          </w:tcPr>
          <w:p w14:paraId="7F503F96"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Grupo de Valor</w:t>
            </w:r>
          </w:p>
        </w:tc>
        <w:tc>
          <w:tcPr>
            <w:tcW w:w="2776" w:type="dxa"/>
            <w:vAlign w:val="center"/>
          </w:tcPr>
          <w:p w14:paraId="44A453CE"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6F2FD87B"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Maestros y Maestras del Distrito Capital (Docentes)</w:t>
            </w:r>
          </w:p>
        </w:tc>
      </w:tr>
      <w:tr w:rsidR="00DC122F" w14:paraId="49C69D8D" w14:textId="77777777" w:rsidTr="008554A6">
        <w:trPr>
          <w:trHeight w:val="222"/>
        </w:trPr>
        <w:tc>
          <w:tcPr>
            <w:tcW w:w="1147" w:type="dxa"/>
            <w:vMerge/>
            <w:vAlign w:val="center"/>
          </w:tcPr>
          <w:p w14:paraId="63392F5A"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23DA6E42"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0DC4964C"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Directivos Docentes</w:t>
            </w:r>
          </w:p>
        </w:tc>
      </w:tr>
      <w:tr w:rsidR="00DC122F" w14:paraId="6C2EF05A" w14:textId="77777777" w:rsidTr="008554A6">
        <w:trPr>
          <w:trHeight w:val="351"/>
        </w:trPr>
        <w:tc>
          <w:tcPr>
            <w:tcW w:w="1147" w:type="dxa"/>
            <w:vMerge/>
            <w:vAlign w:val="center"/>
          </w:tcPr>
          <w:p w14:paraId="6397100C"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354F96CB"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4958BBF1"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Investigadores, Centros de Investigación y Académicos</w:t>
            </w:r>
          </w:p>
        </w:tc>
      </w:tr>
      <w:tr w:rsidR="00DC122F" w14:paraId="0FA6F04F" w14:textId="77777777" w:rsidTr="008554A6">
        <w:trPr>
          <w:trHeight w:val="408"/>
        </w:trPr>
        <w:tc>
          <w:tcPr>
            <w:tcW w:w="1147" w:type="dxa"/>
            <w:vMerge/>
            <w:vAlign w:val="center"/>
          </w:tcPr>
          <w:p w14:paraId="5FC7AACC"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09F048ED"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622A6664"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Instituciones educativas, colegios, escuelas normales, estudiantes y facultades de educación.</w:t>
            </w:r>
          </w:p>
        </w:tc>
      </w:tr>
      <w:tr w:rsidR="00DC122F" w14:paraId="620A2C94" w14:textId="77777777" w:rsidTr="008554A6">
        <w:trPr>
          <w:trHeight w:val="2053"/>
        </w:trPr>
        <w:tc>
          <w:tcPr>
            <w:tcW w:w="1147" w:type="dxa"/>
            <w:vMerge/>
            <w:vAlign w:val="center"/>
          </w:tcPr>
          <w:p w14:paraId="125DC258"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31F573ED"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Organizaciones sociales representativas de la comunidad</w:t>
            </w:r>
          </w:p>
        </w:tc>
        <w:tc>
          <w:tcPr>
            <w:tcW w:w="4856" w:type="dxa"/>
            <w:vAlign w:val="center"/>
          </w:tcPr>
          <w:p w14:paraId="306D094A" w14:textId="77777777" w:rsidR="00DC122F" w:rsidRDefault="00DC122F" w:rsidP="008554A6">
            <w:pPr>
              <w:rPr>
                <w:rFonts w:ascii="Arial" w:eastAsia="Arial" w:hAnsi="Arial" w:cs="Arial"/>
                <w:color w:val="000000"/>
                <w:sz w:val="18"/>
                <w:szCs w:val="18"/>
              </w:rPr>
            </w:pPr>
            <w:r>
              <w:rPr>
                <w:rFonts w:ascii="Arial" w:eastAsia="Arial" w:hAnsi="Arial" w:cs="Arial"/>
                <w:sz w:val="18"/>
                <w:szCs w:val="18"/>
              </w:rPr>
              <w:t xml:space="preserve">Redes y colectivos de docentes </w:t>
            </w:r>
            <w:r>
              <w:rPr>
                <w:rFonts w:ascii="Arial" w:eastAsia="Arial" w:hAnsi="Arial" w:cs="Arial"/>
                <w:color w:val="000000"/>
                <w:sz w:val="18"/>
                <w:szCs w:val="18"/>
              </w:rPr>
              <w:br/>
              <w:t>Fundación RED ELEGGUA</w:t>
            </w:r>
            <w:r>
              <w:rPr>
                <w:rFonts w:ascii="Arial" w:eastAsia="Arial" w:hAnsi="Arial" w:cs="Arial"/>
                <w:color w:val="000000"/>
                <w:sz w:val="18"/>
                <w:szCs w:val="18"/>
              </w:rPr>
              <w:br/>
              <w:t>Red de universidades para fomento de la investigación en tecnologías de la información y la comunicación UXTIC</w:t>
            </w:r>
            <w:r>
              <w:rPr>
                <w:rFonts w:ascii="Arial" w:eastAsia="Arial" w:hAnsi="Arial" w:cs="Arial"/>
                <w:color w:val="000000"/>
                <w:sz w:val="18"/>
                <w:szCs w:val="18"/>
              </w:rPr>
              <w:br/>
              <w:t>Red Distrital de docentes investigadores</w:t>
            </w:r>
            <w:r>
              <w:rPr>
                <w:rFonts w:ascii="Arial" w:eastAsia="Arial" w:hAnsi="Arial" w:cs="Arial"/>
                <w:color w:val="000000"/>
                <w:sz w:val="18"/>
                <w:szCs w:val="18"/>
              </w:rPr>
              <w:br/>
              <w:t>Red Estrado</w:t>
            </w:r>
            <w:r>
              <w:rPr>
                <w:rFonts w:ascii="Arial" w:eastAsia="Arial" w:hAnsi="Arial" w:cs="Arial"/>
                <w:color w:val="000000"/>
                <w:sz w:val="18"/>
                <w:szCs w:val="18"/>
              </w:rPr>
              <w:br/>
              <w:t xml:space="preserve">Red Iberoamericana de Pedagogía, REDIPE </w:t>
            </w:r>
            <w:r>
              <w:rPr>
                <w:rFonts w:ascii="Arial" w:eastAsia="Arial" w:hAnsi="Arial" w:cs="Arial"/>
                <w:color w:val="000000"/>
                <w:sz w:val="18"/>
                <w:szCs w:val="18"/>
              </w:rPr>
              <w:br/>
              <w:t>Red Iberoamericana de Informática Educativa - RIBIE</w:t>
            </w:r>
            <w:r>
              <w:rPr>
                <w:rFonts w:ascii="Arial" w:eastAsia="Arial" w:hAnsi="Arial" w:cs="Arial"/>
                <w:color w:val="000000"/>
                <w:sz w:val="18"/>
                <w:szCs w:val="18"/>
              </w:rPr>
              <w:br/>
              <w:t>Red Académica</w:t>
            </w:r>
          </w:p>
        </w:tc>
      </w:tr>
      <w:tr w:rsidR="00DC122F" w14:paraId="0940F6DE" w14:textId="77777777" w:rsidTr="008554A6">
        <w:trPr>
          <w:trHeight w:val="463"/>
        </w:trPr>
        <w:tc>
          <w:tcPr>
            <w:tcW w:w="1147" w:type="dxa"/>
            <w:vMerge w:val="restart"/>
            <w:vAlign w:val="center"/>
          </w:tcPr>
          <w:p w14:paraId="3B5D1BA8"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Grupo de Interés</w:t>
            </w:r>
          </w:p>
        </w:tc>
        <w:tc>
          <w:tcPr>
            <w:tcW w:w="2776" w:type="dxa"/>
            <w:vAlign w:val="center"/>
          </w:tcPr>
          <w:p w14:paraId="7DFAD977"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Representantes de los gremios y la academia</w:t>
            </w:r>
          </w:p>
        </w:tc>
        <w:tc>
          <w:tcPr>
            <w:tcW w:w="4856" w:type="dxa"/>
            <w:vAlign w:val="center"/>
          </w:tcPr>
          <w:p w14:paraId="1B75977A"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Otras entidades y asociados que trabajan temas de educación y pedagogía</w:t>
            </w:r>
          </w:p>
        </w:tc>
      </w:tr>
      <w:tr w:rsidR="00DC122F" w14:paraId="114A2C32" w14:textId="77777777" w:rsidTr="008554A6">
        <w:trPr>
          <w:trHeight w:val="413"/>
        </w:trPr>
        <w:tc>
          <w:tcPr>
            <w:tcW w:w="1147" w:type="dxa"/>
            <w:vMerge/>
            <w:vAlign w:val="center"/>
          </w:tcPr>
          <w:p w14:paraId="1C4B6A6F"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143ED841"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Representantes de los gremios y la academia</w:t>
            </w:r>
          </w:p>
        </w:tc>
        <w:tc>
          <w:tcPr>
            <w:tcW w:w="4856" w:type="dxa"/>
            <w:vAlign w:val="center"/>
          </w:tcPr>
          <w:p w14:paraId="49FAE45E"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Bibliotecas Públicas escolares y</w:t>
            </w:r>
            <w:r>
              <w:rPr>
                <w:rFonts w:ascii="Arial" w:eastAsia="Arial" w:hAnsi="Arial" w:cs="Arial"/>
                <w:sz w:val="18"/>
                <w:szCs w:val="18"/>
              </w:rPr>
              <w:t xml:space="preserve"> </w:t>
            </w:r>
            <w:r>
              <w:rPr>
                <w:rFonts w:ascii="Arial" w:eastAsia="Arial" w:hAnsi="Arial" w:cs="Arial"/>
                <w:color w:val="000000"/>
                <w:sz w:val="18"/>
                <w:szCs w:val="18"/>
              </w:rPr>
              <w:t>universitarias del distrito</w:t>
            </w:r>
          </w:p>
          <w:p w14:paraId="3917D12D" w14:textId="77777777" w:rsidR="00DC122F" w:rsidRDefault="00DC122F" w:rsidP="008554A6">
            <w:pPr>
              <w:rPr>
                <w:rFonts w:ascii="Arial" w:eastAsia="Arial" w:hAnsi="Arial" w:cs="Arial"/>
                <w:sz w:val="18"/>
                <w:szCs w:val="18"/>
              </w:rPr>
            </w:pPr>
            <w:r>
              <w:rPr>
                <w:rFonts w:ascii="Arial" w:eastAsia="Arial" w:hAnsi="Arial" w:cs="Arial"/>
                <w:sz w:val="18"/>
                <w:szCs w:val="18"/>
              </w:rPr>
              <w:t>Bibliored</w:t>
            </w:r>
          </w:p>
          <w:p w14:paraId="61C07BD2" w14:textId="77777777" w:rsidR="00DC122F" w:rsidRDefault="00DC122F" w:rsidP="008554A6">
            <w:pPr>
              <w:rPr>
                <w:rFonts w:ascii="Arial" w:eastAsia="Arial" w:hAnsi="Arial" w:cs="Arial"/>
                <w:sz w:val="18"/>
                <w:szCs w:val="18"/>
              </w:rPr>
            </w:pPr>
            <w:r>
              <w:rPr>
                <w:rFonts w:ascii="Arial" w:eastAsia="Arial" w:hAnsi="Arial" w:cs="Arial"/>
                <w:sz w:val="18"/>
                <w:szCs w:val="18"/>
              </w:rPr>
              <w:t>Biblioteca Nacional de Colombia</w:t>
            </w:r>
          </w:p>
          <w:p w14:paraId="305B0447" w14:textId="77777777" w:rsidR="00DC122F" w:rsidRDefault="00DC122F" w:rsidP="008554A6">
            <w:pPr>
              <w:rPr>
                <w:rFonts w:ascii="Arial" w:eastAsia="Arial" w:hAnsi="Arial" w:cs="Arial"/>
                <w:sz w:val="18"/>
                <w:szCs w:val="18"/>
              </w:rPr>
            </w:pPr>
            <w:r>
              <w:rPr>
                <w:rFonts w:ascii="Arial" w:eastAsia="Arial" w:hAnsi="Arial" w:cs="Arial"/>
                <w:sz w:val="18"/>
                <w:szCs w:val="18"/>
              </w:rPr>
              <w:t>Biblioteca Universidad Distrital</w:t>
            </w:r>
          </w:p>
          <w:p w14:paraId="2EBFDB3B" w14:textId="77777777" w:rsidR="00DC122F" w:rsidRDefault="00DC122F" w:rsidP="008554A6">
            <w:pPr>
              <w:rPr>
                <w:rFonts w:ascii="Arial" w:eastAsia="Arial" w:hAnsi="Arial" w:cs="Arial"/>
                <w:sz w:val="18"/>
                <w:szCs w:val="18"/>
              </w:rPr>
            </w:pPr>
            <w:r>
              <w:rPr>
                <w:rFonts w:ascii="Arial" w:eastAsia="Arial" w:hAnsi="Arial" w:cs="Arial"/>
                <w:sz w:val="18"/>
                <w:szCs w:val="18"/>
              </w:rPr>
              <w:t>Biblioteca de la Universidad Pedagógica</w:t>
            </w:r>
          </w:p>
        </w:tc>
      </w:tr>
      <w:tr w:rsidR="00DC122F" w14:paraId="2046943E" w14:textId="77777777" w:rsidTr="008554A6">
        <w:trPr>
          <w:trHeight w:val="1823"/>
        </w:trPr>
        <w:tc>
          <w:tcPr>
            <w:tcW w:w="1147" w:type="dxa"/>
            <w:vMerge/>
            <w:vAlign w:val="center"/>
          </w:tcPr>
          <w:p w14:paraId="658E31C2"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1B17D724"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Entidades estatales del nivel nacional y Distrital</w:t>
            </w:r>
          </w:p>
        </w:tc>
        <w:tc>
          <w:tcPr>
            <w:tcW w:w="4856" w:type="dxa"/>
            <w:vAlign w:val="center"/>
          </w:tcPr>
          <w:p w14:paraId="7CA5369F"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Alta consejería de TIC</w:t>
            </w:r>
          </w:p>
          <w:p w14:paraId="692D7AF4"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Ministerio de Educación Nacional</w:t>
            </w:r>
          </w:p>
          <w:p w14:paraId="10D2D2F6" w14:textId="77777777" w:rsidR="00DC122F" w:rsidRDefault="00DC122F" w:rsidP="008554A6">
            <w:pPr>
              <w:rPr>
                <w:rFonts w:ascii="Arial" w:eastAsia="Arial" w:hAnsi="Arial" w:cs="Arial"/>
                <w:sz w:val="18"/>
                <w:szCs w:val="18"/>
              </w:rPr>
            </w:pPr>
            <w:r>
              <w:rPr>
                <w:rFonts w:ascii="Arial" w:eastAsia="Arial" w:hAnsi="Arial" w:cs="Arial"/>
                <w:sz w:val="18"/>
                <w:szCs w:val="18"/>
              </w:rPr>
              <w:t>Ministerio de Ciencia y Tecnología</w:t>
            </w:r>
          </w:p>
          <w:p w14:paraId="02F3E590"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Región Administrativa de Planeación Especial RAPE</w:t>
            </w:r>
          </w:p>
          <w:p w14:paraId="61BA6FA5"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Servicio Nacional de Aprendizaje SENA</w:t>
            </w:r>
          </w:p>
          <w:p w14:paraId="4859FED6"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Universidad Nacional de Colombia</w:t>
            </w:r>
          </w:p>
          <w:p w14:paraId="3F9225D1"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Universidad Pedagógica Nacional</w:t>
            </w:r>
          </w:p>
          <w:p w14:paraId="64C1A71A"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Concejo de Bogotá D. C.</w:t>
            </w:r>
          </w:p>
          <w:p w14:paraId="74348B06"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Secretaría Distrital de Cultura, Recreación y Deporte</w:t>
            </w:r>
          </w:p>
          <w:p w14:paraId="1EC66BAE"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Secretaría General de la Alcaldía Mayor de Bogotá</w:t>
            </w:r>
          </w:p>
          <w:p w14:paraId="3D1DA77C"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Secretaría de Educación del Distrito</w:t>
            </w:r>
          </w:p>
          <w:p w14:paraId="35AF1F82"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Universidad Distrital Francisco José de Caldas</w:t>
            </w:r>
          </w:p>
          <w:p w14:paraId="1A588171" w14:textId="77777777" w:rsidR="00DC122F" w:rsidRDefault="00DC122F" w:rsidP="008554A6">
            <w:pPr>
              <w:rPr>
                <w:rFonts w:ascii="Arial" w:eastAsia="Arial" w:hAnsi="Arial" w:cs="Arial"/>
                <w:sz w:val="18"/>
                <w:szCs w:val="18"/>
              </w:rPr>
            </w:pPr>
            <w:r>
              <w:rPr>
                <w:rFonts w:ascii="Arial" w:eastAsia="Arial" w:hAnsi="Arial" w:cs="Arial"/>
                <w:sz w:val="18"/>
                <w:szCs w:val="18"/>
              </w:rPr>
              <w:t>Instituto Distrital de las Artes IDARTES</w:t>
            </w:r>
          </w:p>
          <w:p w14:paraId="506A7CE7" w14:textId="77777777" w:rsidR="00DC122F" w:rsidRDefault="00DC122F" w:rsidP="008554A6">
            <w:pPr>
              <w:rPr>
                <w:rFonts w:ascii="Arial" w:eastAsia="Arial" w:hAnsi="Arial" w:cs="Arial"/>
                <w:sz w:val="18"/>
                <w:szCs w:val="18"/>
              </w:rPr>
            </w:pPr>
            <w:r>
              <w:rPr>
                <w:rFonts w:ascii="Arial" w:eastAsia="Arial" w:hAnsi="Arial" w:cs="Arial"/>
                <w:sz w:val="18"/>
                <w:szCs w:val="18"/>
              </w:rPr>
              <w:t>Instituto Distrital para la Protección de la Niñez y la Juventud IDIPRON</w:t>
            </w:r>
          </w:p>
        </w:tc>
      </w:tr>
      <w:tr w:rsidR="00DC122F" w14:paraId="36DA7567" w14:textId="77777777" w:rsidTr="008554A6">
        <w:trPr>
          <w:trHeight w:val="957"/>
        </w:trPr>
        <w:tc>
          <w:tcPr>
            <w:tcW w:w="1147" w:type="dxa"/>
            <w:vMerge/>
            <w:vAlign w:val="center"/>
          </w:tcPr>
          <w:p w14:paraId="4EB1DEB2"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18B93A25"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Entidades estatales internacional</w:t>
            </w:r>
          </w:p>
        </w:tc>
        <w:tc>
          <w:tcPr>
            <w:tcW w:w="4856" w:type="dxa"/>
            <w:vAlign w:val="center"/>
          </w:tcPr>
          <w:p w14:paraId="14F84B00"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Universidad Nacional Autónoma de México</w:t>
            </w:r>
          </w:p>
          <w:p w14:paraId="14620343"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Instituto Pensamiento y Cultura en América Latina IPECAL</w:t>
            </w:r>
            <w:r>
              <w:rPr>
                <w:rFonts w:ascii="Arial" w:eastAsia="Arial" w:hAnsi="Arial" w:cs="Arial"/>
                <w:color w:val="000000"/>
                <w:sz w:val="18"/>
                <w:szCs w:val="18"/>
              </w:rPr>
              <w:br/>
              <w:t>Universidad Nacional de San Martín, Argentina</w:t>
            </w:r>
          </w:p>
          <w:p w14:paraId="0F23E707" w14:textId="77777777" w:rsidR="00DC122F" w:rsidRDefault="00DC122F" w:rsidP="008554A6">
            <w:pPr>
              <w:rPr>
                <w:rFonts w:ascii="Arial" w:eastAsia="Arial" w:hAnsi="Arial" w:cs="Arial"/>
                <w:sz w:val="18"/>
                <w:szCs w:val="18"/>
              </w:rPr>
            </w:pPr>
            <w:r>
              <w:rPr>
                <w:rFonts w:ascii="Arial" w:eastAsia="Arial" w:hAnsi="Arial" w:cs="Arial"/>
                <w:sz w:val="18"/>
                <w:szCs w:val="18"/>
              </w:rPr>
              <w:t>Fondo Nacional de Desarrollo de la Educación Peruana FONDEP</w:t>
            </w:r>
          </w:p>
          <w:p w14:paraId="6F62A82B" w14:textId="77777777" w:rsidR="00DC122F" w:rsidRDefault="00DC122F" w:rsidP="008554A6">
            <w:pPr>
              <w:rPr>
                <w:rFonts w:ascii="Arial" w:eastAsia="Arial" w:hAnsi="Arial" w:cs="Arial"/>
                <w:sz w:val="18"/>
                <w:szCs w:val="18"/>
              </w:rPr>
            </w:pPr>
            <w:r>
              <w:rPr>
                <w:rFonts w:ascii="Arial" w:eastAsia="Arial" w:hAnsi="Arial" w:cs="Arial"/>
                <w:sz w:val="18"/>
                <w:szCs w:val="18"/>
              </w:rPr>
              <w:t>Programa de las Naciones Unidas para el Desarrollo PNUD</w:t>
            </w:r>
          </w:p>
        </w:tc>
      </w:tr>
      <w:tr w:rsidR="00DC122F" w14:paraId="3A991CFD" w14:textId="77777777" w:rsidTr="008554A6">
        <w:trPr>
          <w:trHeight w:val="628"/>
        </w:trPr>
        <w:tc>
          <w:tcPr>
            <w:tcW w:w="1147" w:type="dxa"/>
            <w:vMerge/>
            <w:vAlign w:val="center"/>
          </w:tcPr>
          <w:p w14:paraId="75D6CCF4"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4C8192FE"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Organismos de control</w:t>
            </w:r>
          </w:p>
        </w:tc>
        <w:tc>
          <w:tcPr>
            <w:tcW w:w="4856" w:type="dxa"/>
            <w:vAlign w:val="center"/>
          </w:tcPr>
          <w:p w14:paraId="21F0F8E9"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Procuraduría General de la Nación</w:t>
            </w:r>
          </w:p>
          <w:p w14:paraId="3489C5EE"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Contraloría General de la República</w:t>
            </w:r>
          </w:p>
          <w:p w14:paraId="247B19A6"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Contraloría de Bogotá</w:t>
            </w:r>
          </w:p>
          <w:p w14:paraId="2193B525"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Personería de Bogotá.</w:t>
            </w:r>
          </w:p>
        </w:tc>
      </w:tr>
      <w:tr w:rsidR="00DC122F" w14:paraId="0CDB35BA" w14:textId="77777777" w:rsidTr="008554A6">
        <w:trPr>
          <w:trHeight w:val="344"/>
        </w:trPr>
        <w:tc>
          <w:tcPr>
            <w:tcW w:w="1147" w:type="dxa"/>
            <w:vMerge/>
            <w:vAlign w:val="center"/>
          </w:tcPr>
          <w:p w14:paraId="1EF9F9DE"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6F378F6" w14:textId="77777777" w:rsidR="00DC122F" w:rsidRDefault="00DC122F" w:rsidP="008554A6">
            <w:pPr>
              <w:jc w:val="center"/>
              <w:rPr>
                <w:rFonts w:ascii="Arial" w:eastAsia="Arial" w:hAnsi="Arial" w:cs="Arial"/>
                <w:sz w:val="18"/>
                <w:szCs w:val="18"/>
              </w:rPr>
            </w:pPr>
            <w:r>
              <w:rPr>
                <w:rFonts w:ascii="Arial" w:eastAsia="Arial" w:hAnsi="Arial" w:cs="Arial"/>
                <w:sz w:val="18"/>
                <w:szCs w:val="18"/>
              </w:rPr>
              <w:t>Servidores públicos y contratistas</w:t>
            </w:r>
          </w:p>
        </w:tc>
        <w:tc>
          <w:tcPr>
            <w:tcW w:w="4856" w:type="dxa"/>
            <w:vAlign w:val="center"/>
          </w:tcPr>
          <w:p w14:paraId="757461DC" w14:textId="77777777" w:rsidR="00DC122F" w:rsidRDefault="00DC122F" w:rsidP="008554A6">
            <w:pPr>
              <w:rPr>
                <w:rFonts w:ascii="Arial" w:eastAsia="Arial" w:hAnsi="Arial" w:cs="Arial"/>
                <w:sz w:val="18"/>
                <w:szCs w:val="18"/>
              </w:rPr>
            </w:pPr>
            <w:r>
              <w:rPr>
                <w:rFonts w:ascii="Arial" w:eastAsia="Arial" w:hAnsi="Arial" w:cs="Arial"/>
                <w:sz w:val="18"/>
                <w:szCs w:val="18"/>
              </w:rPr>
              <w:t>Servidores públicos y contratistas del IDEP</w:t>
            </w:r>
          </w:p>
        </w:tc>
      </w:tr>
      <w:tr w:rsidR="00DC122F" w14:paraId="3DFD990E" w14:textId="77777777" w:rsidTr="008554A6">
        <w:trPr>
          <w:trHeight w:val="770"/>
        </w:trPr>
        <w:tc>
          <w:tcPr>
            <w:tcW w:w="1147" w:type="dxa"/>
            <w:vMerge w:val="restart"/>
            <w:vAlign w:val="center"/>
          </w:tcPr>
          <w:p w14:paraId="50A8DD56"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Partes interesadas</w:t>
            </w:r>
          </w:p>
        </w:tc>
        <w:tc>
          <w:tcPr>
            <w:tcW w:w="2776" w:type="dxa"/>
            <w:vAlign w:val="center"/>
          </w:tcPr>
          <w:p w14:paraId="794011FE"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Personas interesadas</w:t>
            </w:r>
          </w:p>
        </w:tc>
        <w:tc>
          <w:tcPr>
            <w:tcW w:w="4856" w:type="dxa"/>
            <w:vAlign w:val="center"/>
          </w:tcPr>
          <w:p w14:paraId="29FF30BD"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Ciudadanos</w:t>
            </w:r>
          </w:p>
        </w:tc>
      </w:tr>
      <w:tr w:rsidR="00DC122F" w14:paraId="2FE6C120" w14:textId="77777777" w:rsidTr="008554A6">
        <w:trPr>
          <w:trHeight w:val="869"/>
        </w:trPr>
        <w:tc>
          <w:tcPr>
            <w:tcW w:w="1147" w:type="dxa"/>
            <w:vMerge/>
            <w:vAlign w:val="center"/>
          </w:tcPr>
          <w:p w14:paraId="44E5721F"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3157E668"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Organizaciones no gubernamentales</w:t>
            </w:r>
          </w:p>
        </w:tc>
        <w:tc>
          <w:tcPr>
            <w:tcW w:w="4856" w:type="dxa"/>
            <w:vAlign w:val="center"/>
          </w:tcPr>
          <w:p w14:paraId="142EE0C7"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Avance la Ciencia y la tecnología</w:t>
            </w:r>
          </w:p>
          <w:p w14:paraId="6571E039"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Centro de investigación y educación popular CINEP</w:t>
            </w:r>
          </w:p>
          <w:p w14:paraId="5CB3D1CF"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Consejo Latinoamericano de Ciencias Sociales CLACSO</w:t>
            </w:r>
          </w:p>
          <w:p w14:paraId="7984C9A3"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Organización de Estados Iberoamericanos OEI</w:t>
            </w:r>
          </w:p>
          <w:p w14:paraId="76387171" w14:textId="77777777"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UNICEF</w:t>
            </w:r>
          </w:p>
          <w:p w14:paraId="6E64E65F" w14:textId="77777777" w:rsidR="00DC122F" w:rsidRDefault="00DC122F" w:rsidP="008554A6">
            <w:pPr>
              <w:rPr>
                <w:rFonts w:ascii="Arial" w:eastAsia="Arial" w:hAnsi="Arial" w:cs="Arial"/>
                <w:sz w:val="18"/>
                <w:szCs w:val="18"/>
              </w:rPr>
            </w:pPr>
            <w:r>
              <w:rPr>
                <w:rFonts w:ascii="Arial" w:eastAsia="Arial" w:hAnsi="Arial" w:cs="Arial"/>
                <w:sz w:val="18"/>
                <w:szCs w:val="18"/>
              </w:rPr>
              <w:t xml:space="preserve">Editorial Magisterio </w:t>
            </w:r>
          </w:p>
        </w:tc>
      </w:tr>
      <w:tr w:rsidR="00DC122F" w14:paraId="24901013" w14:textId="77777777" w:rsidTr="008554A6">
        <w:trPr>
          <w:trHeight w:val="617"/>
        </w:trPr>
        <w:tc>
          <w:tcPr>
            <w:tcW w:w="1147" w:type="dxa"/>
            <w:vMerge/>
            <w:vAlign w:val="center"/>
          </w:tcPr>
          <w:p w14:paraId="428BB0C8" w14:textId="77777777" w:rsidR="00DC122F" w:rsidRDefault="00DC122F" w:rsidP="008554A6">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0409BF6D" w14:textId="77777777" w:rsidR="00DC122F" w:rsidRDefault="00DC122F" w:rsidP="008554A6">
            <w:pPr>
              <w:jc w:val="center"/>
              <w:rPr>
                <w:rFonts w:ascii="Arial" w:eastAsia="Arial" w:hAnsi="Arial" w:cs="Arial"/>
                <w:color w:val="000000"/>
                <w:sz w:val="18"/>
                <w:szCs w:val="18"/>
              </w:rPr>
            </w:pPr>
            <w:r>
              <w:rPr>
                <w:rFonts w:ascii="Arial" w:eastAsia="Arial" w:hAnsi="Arial" w:cs="Arial"/>
                <w:color w:val="000000"/>
                <w:sz w:val="18"/>
                <w:szCs w:val="18"/>
              </w:rPr>
              <w:t>Medios de comunicación, prensa, radio, televisión nacional y regional</w:t>
            </w:r>
          </w:p>
        </w:tc>
        <w:tc>
          <w:tcPr>
            <w:tcW w:w="4856" w:type="dxa"/>
            <w:vAlign w:val="center"/>
          </w:tcPr>
          <w:p w14:paraId="0501791D" w14:textId="3FD7B346" w:rsidR="00DC122F" w:rsidRDefault="00DC122F" w:rsidP="008554A6">
            <w:pPr>
              <w:rPr>
                <w:rFonts w:ascii="Arial" w:eastAsia="Arial" w:hAnsi="Arial" w:cs="Arial"/>
                <w:color w:val="000000"/>
                <w:sz w:val="18"/>
                <w:szCs w:val="18"/>
              </w:rPr>
            </w:pPr>
            <w:r>
              <w:rPr>
                <w:rFonts w:ascii="Arial" w:eastAsia="Arial" w:hAnsi="Arial" w:cs="Arial"/>
                <w:color w:val="000000"/>
                <w:sz w:val="18"/>
                <w:szCs w:val="18"/>
              </w:rPr>
              <w:t>Ciudadanos en Redes sociales (Facebook, Twitter, YouTube e Instagram)</w:t>
            </w:r>
          </w:p>
        </w:tc>
      </w:tr>
    </w:tbl>
    <w:p w14:paraId="6E5893A0" w14:textId="77777777" w:rsidR="00327289" w:rsidRDefault="006227DC">
      <w:pPr>
        <w:pStyle w:val="Ttulo2"/>
        <w:numPr>
          <w:ilvl w:val="1"/>
          <w:numId w:val="9"/>
        </w:numPr>
        <w:rPr>
          <w:rFonts w:ascii="Arial" w:eastAsia="Arial" w:hAnsi="Arial" w:cs="Arial"/>
          <w:color w:val="000000"/>
          <w:sz w:val="22"/>
          <w:szCs w:val="22"/>
        </w:rPr>
      </w:pPr>
      <w:bookmarkStart w:id="12" w:name="_Toc78483646"/>
      <w:r>
        <w:rPr>
          <w:rFonts w:ascii="Arial" w:eastAsia="Arial" w:hAnsi="Arial" w:cs="Arial"/>
          <w:color w:val="000000"/>
          <w:sz w:val="22"/>
          <w:szCs w:val="22"/>
        </w:rPr>
        <w:t>Diseño</w:t>
      </w:r>
      <w:bookmarkEnd w:id="12"/>
    </w:p>
    <w:p w14:paraId="5724642C" w14:textId="77777777" w:rsidR="00327289" w:rsidRDefault="00327289"/>
    <w:p w14:paraId="2A23E05A" w14:textId="77777777" w:rsidR="00327289" w:rsidRDefault="006227DC">
      <w:pPr>
        <w:jc w:val="both"/>
        <w:rPr>
          <w:rFonts w:ascii="Arial" w:eastAsia="Arial" w:hAnsi="Arial" w:cs="Arial"/>
          <w:sz w:val="22"/>
          <w:szCs w:val="22"/>
        </w:rPr>
      </w:pPr>
      <w:r>
        <w:rPr>
          <w:rFonts w:ascii="Arial" w:eastAsia="Arial" w:hAnsi="Arial" w:cs="Arial"/>
          <w:sz w:val="22"/>
          <w:szCs w:val="22"/>
        </w:rPr>
        <w:t>Se refiere a la actividad creativa desarrollada para concretar el cómo del proceso de rendición de cuentas en la futura etapa de ejecución. Tiene por fin proyectar actividades que sean útiles y efectivas. Es ideal que esta fase cuente con procesos participativos para definir las actividades, responsables, tiempos y recursos de la rendición de cuentas en todas las fases de ciclo de la gestión (anual). Incluye el diseño de la estrategia de relacionamiento y comunicaciones para la rendición de cuentas.</w:t>
      </w:r>
    </w:p>
    <w:p w14:paraId="3D62938B" w14:textId="77777777" w:rsidR="00327289" w:rsidRDefault="00327289">
      <w:pPr>
        <w:jc w:val="both"/>
        <w:rPr>
          <w:rFonts w:ascii="Arial" w:eastAsia="Arial" w:hAnsi="Arial" w:cs="Arial"/>
          <w:sz w:val="22"/>
          <w:szCs w:val="22"/>
        </w:rPr>
      </w:pPr>
    </w:p>
    <w:p w14:paraId="09C313D7" w14:textId="54BF3D18" w:rsidR="00327289" w:rsidRDefault="006227DC">
      <w:pPr>
        <w:jc w:val="both"/>
        <w:rPr>
          <w:rFonts w:ascii="Arial" w:eastAsia="Arial" w:hAnsi="Arial" w:cs="Arial"/>
          <w:sz w:val="22"/>
          <w:szCs w:val="22"/>
        </w:rPr>
      </w:pPr>
      <w:r>
        <w:rPr>
          <w:rFonts w:ascii="Arial" w:eastAsia="Arial" w:hAnsi="Arial" w:cs="Arial"/>
          <w:sz w:val="22"/>
          <w:szCs w:val="22"/>
        </w:rPr>
        <w:t xml:space="preserve">La rendición de cuentas entendida como el proceso que deben propiciar las entidades públicas para facilitar la participación de los ciudadanos en su </w:t>
      </w:r>
      <w:r w:rsidR="00DC122F">
        <w:rPr>
          <w:rFonts w:ascii="Arial" w:eastAsia="Arial" w:hAnsi="Arial" w:cs="Arial"/>
          <w:sz w:val="22"/>
          <w:szCs w:val="22"/>
        </w:rPr>
        <w:t>gestión</w:t>
      </w:r>
      <w:r>
        <w:rPr>
          <w:rFonts w:ascii="Arial" w:eastAsia="Arial" w:hAnsi="Arial" w:cs="Arial"/>
          <w:sz w:val="22"/>
          <w:szCs w:val="22"/>
        </w:rPr>
        <w:t xml:space="preserve"> es una de las políticas que debe incluirse en la planeación institucional, según lo establece el Modelo Integrado de Planeación y Gestión para fortalecer la relación del Estado con el ciudadano.</w:t>
      </w:r>
    </w:p>
    <w:p w14:paraId="1BDCD881" w14:textId="77777777" w:rsidR="00327289" w:rsidRDefault="006227DC">
      <w:pPr>
        <w:pStyle w:val="Ttulo2"/>
        <w:numPr>
          <w:ilvl w:val="1"/>
          <w:numId w:val="9"/>
        </w:numPr>
        <w:rPr>
          <w:rFonts w:ascii="Arial" w:eastAsia="Arial" w:hAnsi="Arial" w:cs="Arial"/>
          <w:color w:val="000000"/>
          <w:sz w:val="22"/>
          <w:szCs w:val="22"/>
        </w:rPr>
      </w:pPr>
      <w:bookmarkStart w:id="13" w:name="_Toc78483647"/>
      <w:r>
        <w:rPr>
          <w:rFonts w:ascii="Arial" w:eastAsia="Arial" w:hAnsi="Arial" w:cs="Arial"/>
          <w:color w:val="000000"/>
          <w:sz w:val="22"/>
          <w:szCs w:val="22"/>
        </w:rPr>
        <w:t>Preparación</w:t>
      </w:r>
      <w:bookmarkEnd w:id="13"/>
    </w:p>
    <w:p w14:paraId="026A8597" w14:textId="77777777" w:rsidR="00327289" w:rsidRDefault="00327289">
      <w:pPr>
        <w:jc w:val="both"/>
        <w:rPr>
          <w:rFonts w:ascii="Arial" w:eastAsia="Arial" w:hAnsi="Arial" w:cs="Arial"/>
          <w:sz w:val="22"/>
          <w:szCs w:val="22"/>
        </w:rPr>
      </w:pPr>
    </w:p>
    <w:p w14:paraId="4B939239" w14:textId="77777777" w:rsidR="00327289" w:rsidRDefault="006227DC">
      <w:pPr>
        <w:jc w:val="both"/>
        <w:rPr>
          <w:rFonts w:ascii="Arial" w:eastAsia="Arial" w:hAnsi="Arial" w:cs="Arial"/>
          <w:sz w:val="22"/>
          <w:szCs w:val="22"/>
        </w:rPr>
      </w:pPr>
      <w:r>
        <w:rPr>
          <w:rFonts w:ascii="Arial" w:eastAsia="Arial" w:hAnsi="Arial" w:cs="Arial"/>
          <w:sz w:val="22"/>
          <w:szCs w:val="22"/>
        </w:rPr>
        <w:t>Consiste en disponer, para su aplicación inmediata, los recursos, documentos, compromisos, entre otros, los cuales, en el caso de la rendición de cuentas, serán utilizados en la etapa de ejecución. Se refiere a las condiciones necesarias para la rendición de cuentas y abarca actividades como: generación y análisis de la información, elaboración del informe de gestión para la rendición de cuentas, diseño de los formatos y mecanismos para la publicación, difusión y comunicación permanentes y la capacitación de los actores interesados para la rendición de cuentas.</w:t>
      </w:r>
    </w:p>
    <w:p w14:paraId="26711020" w14:textId="676CAFC7" w:rsidR="004576E9" w:rsidRPr="004576E9" w:rsidRDefault="004576E9" w:rsidP="004576E9">
      <w:pPr>
        <w:pStyle w:val="Ttulo2"/>
        <w:numPr>
          <w:ilvl w:val="1"/>
          <w:numId w:val="9"/>
        </w:numPr>
        <w:rPr>
          <w:rFonts w:ascii="Arial" w:eastAsia="Arial" w:hAnsi="Arial" w:cs="Arial"/>
          <w:color w:val="000000"/>
          <w:sz w:val="22"/>
          <w:szCs w:val="22"/>
        </w:rPr>
      </w:pPr>
      <w:bookmarkStart w:id="14" w:name="_Toc78483648"/>
      <w:r w:rsidRPr="004576E9">
        <w:rPr>
          <w:rFonts w:ascii="Arial" w:eastAsia="Arial" w:hAnsi="Arial" w:cs="Arial"/>
          <w:color w:val="000000"/>
          <w:sz w:val="22"/>
          <w:szCs w:val="22"/>
        </w:rPr>
        <w:t>Ejecución</w:t>
      </w:r>
      <w:bookmarkEnd w:id="14"/>
    </w:p>
    <w:p w14:paraId="7A4C2856" w14:textId="77777777" w:rsidR="004576E9" w:rsidRPr="004576E9" w:rsidRDefault="004576E9" w:rsidP="004576E9"/>
    <w:p w14:paraId="775D8087" w14:textId="5A84576B" w:rsidR="00327289" w:rsidRDefault="004576E9" w:rsidP="004576E9">
      <w:pPr>
        <w:jc w:val="both"/>
        <w:rPr>
          <w:rFonts w:ascii="Arial" w:eastAsia="Arial" w:hAnsi="Arial" w:cs="Arial"/>
          <w:sz w:val="22"/>
          <w:szCs w:val="22"/>
        </w:rPr>
      </w:pPr>
      <w:r w:rsidRPr="004576E9">
        <w:rPr>
          <w:rFonts w:ascii="Arial" w:eastAsia="Arial" w:hAnsi="Arial" w:cs="Arial"/>
          <w:sz w:val="22"/>
          <w:szCs w:val="22"/>
        </w:rPr>
        <w:t>Esta etapa se relaciona con la puesta en marcha de la estrategia de rendición de cuentas de cada entidad de acuerdo con las actividades definidas; refleja el compromiso con el cumplimiento de los objetivos y metas trazadas. Es el momento en el cual se ejecutan las acciones de publicación, difusión y comunicación de información, así como el desarrollo de espacios de diálogo con la participación de los grupos de valor y de interés</w:t>
      </w:r>
    </w:p>
    <w:p w14:paraId="5918BA7F" w14:textId="77777777" w:rsidR="00327289" w:rsidRDefault="006227DC" w:rsidP="004576E9">
      <w:pPr>
        <w:pStyle w:val="Ttulo2"/>
        <w:numPr>
          <w:ilvl w:val="1"/>
          <w:numId w:val="9"/>
        </w:numPr>
        <w:rPr>
          <w:rFonts w:ascii="Arial" w:eastAsia="Arial" w:hAnsi="Arial" w:cs="Arial"/>
          <w:color w:val="000000"/>
          <w:sz w:val="22"/>
          <w:szCs w:val="22"/>
        </w:rPr>
      </w:pPr>
      <w:r w:rsidRPr="004576E9">
        <w:rPr>
          <w:rFonts w:ascii="Arial" w:eastAsia="Arial" w:hAnsi="Arial" w:cs="Arial"/>
          <w:color w:val="000000"/>
          <w:sz w:val="22"/>
          <w:szCs w:val="22"/>
        </w:rPr>
        <w:t xml:space="preserve"> </w:t>
      </w:r>
      <w:bookmarkStart w:id="15" w:name="_Toc78483649"/>
      <w:r w:rsidRPr="004576E9">
        <w:rPr>
          <w:rFonts w:ascii="Arial" w:eastAsia="Arial" w:hAnsi="Arial" w:cs="Arial"/>
          <w:color w:val="000000"/>
          <w:sz w:val="22"/>
          <w:szCs w:val="22"/>
        </w:rPr>
        <w:t>Seguimiento y evaluación</w:t>
      </w:r>
      <w:bookmarkEnd w:id="15"/>
      <w:r>
        <w:rPr>
          <w:rFonts w:ascii="Arial" w:eastAsia="Arial" w:hAnsi="Arial" w:cs="Arial"/>
          <w:color w:val="000000"/>
          <w:sz w:val="22"/>
          <w:szCs w:val="22"/>
        </w:rPr>
        <w:t xml:space="preserve"> </w:t>
      </w:r>
    </w:p>
    <w:p w14:paraId="24B772EE" w14:textId="77777777" w:rsidR="00327289" w:rsidRDefault="00327289">
      <w:pPr>
        <w:jc w:val="both"/>
        <w:rPr>
          <w:rFonts w:ascii="Arial" w:eastAsia="Arial" w:hAnsi="Arial" w:cs="Arial"/>
          <w:sz w:val="22"/>
          <w:szCs w:val="22"/>
        </w:rPr>
      </w:pPr>
    </w:p>
    <w:p w14:paraId="2CC0D14E" w14:textId="77777777" w:rsidR="00327289" w:rsidRDefault="006227DC">
      <w:pPr>
        <w:jc w:val="both"/>
        <w:rPr>
          <w:rFonts w:ascii="Arial" w:eastAsia="Arial" w:hAnsi="Arial" w:cs="Arial"/>
          <w:sz w:val="22"/>
          <w:szCs w:val="22"/>
        </w:rPr>
      </w:pPr>
      <w:r>
        <w:rPr>
          <w:rFonts w:ascii="Arial" w:eastAsia="Arial" w:hAnsi="Arial" w:cs="Arial"/>
          <w:sz w:val="22"/>
          <w:szCs w:val="22"/>
        </w:rPr>
        <w:t>La evaluación y seguimiento de la estrategia de rendición de cuentas es transversal e inicia y finaliza con la elaboración del autodiagnóstico, ya que éste brinda las bases para definir los indicadores y evidenciar el avance anual de los mismos en una entidad. Esta etapa incluye, en cumplimiento del artículo 56 de la Ley 1757 de 2015, la entrega de respuestas escritas a las preguntas ciudadanas dentro de los 15 días posteriores a su formulación en el marco del proceso de rendición de cuentas. De igual forma, esas respuestas deben ser publicadas en la página web o en los medios de difusión oficiales de las entidades.</w:t>
      </w:r>
    </w:p>
    <w:p w14:paraId="7C2A63B1" w14:textId="77777777" w:rsidR="00327289" w:rsidRDefault="00327289">
      <w:pPr>
        <w:jc w:val="both"/>
        <w:rPr>
          <w:rFonts w:ascii="Arial" w:eastAsia="Arial" w:hAnsi="Arial" w:cs="Arial"/>
          <w:sz w:val="22"/>
          <w:szCs w:val="22"/>
        </w:rPr>
      </w:pPr>
    </w:p>
    <w:p w14:paraId="013F6CA6" w14:textId="77777777" w:rsidR="00327289" w:rsidRDefault="006227DC">
      <w:pPr>
        <w:jc w:val="both"/>
        <w:rPr>
          <w:rFonts w:ascii="Arial" w:eastAsia="Arial" w:hAnsi="Arial" w:cs="Arial"/>
          <w:sz w:val="22"/>
          <w:szCs w:val="22"/>
        </w:rPr>
      </w:pPr>
      <w:r>
        <w:rPr>
          <w:rFonts w:ascii="Arial" w:eastAsia="Arial" w:hAnsi="Arial" w:cs="Arial"/>
          <w:sz w:val="22"/>
          <w:szCs w:val="22"/>
        </w:rPr>
        <w:t>Dentro de la evaluación y seguimiento se aplican cuatro propósitos:</w:t>
      </w:r>
    </w:p>
    <w:p w14:paraId="7937CCC8" w14:textId="77777777" w:rsidR="00327289" w:rsidRDefault="00327289">
      <w:pPr>
        <w:jc w:val="both"/>
        <w:rPr>
          <w:rFonts w:ascii="Arial" w:eastAsia="Arial" w:hAnsi="Arial" w:cs="Arial"/>
          <w:sz w:val="22"/>
          <w:szCs w:val="22"/>
        </w:rPr>
      </w:pPr>
    </w:p>
    <w:p w14:paraId="6CB80280" w14:textId="77777777" w:rsidR="00327289" w:rsidRDefault="006227DC">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Seguimiento al desarrollo del trabajo del equipo líder y al desarrollo de la estrategia (insumos y actividades).</w:t>
      </w:r>
    </w:p>
    <w:p w14:paraId="6A44D8D1" w14:textId="77777777" w:rsidR="00327289" w:rsidRDefault="006227DC">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Evaluación de las acciones propuestas en la estrategia de rendición de cuentas, tanto por los participantes como por el equipo líder.</w:t>
      </w:r>
    </w:p>
    <w:p w14:paraId="6E3EAE8D" w14:textId="77777777" w:rsidR="00327289" w:rsidRDefault="006227DC">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Seguimiento a los compromisos adquiridos en los espacios de rendición de cuentas con los grupos de valor y de interés.</w:t>
      </w:r>
    </w:p>
    <w:p w14:paraId="2EC2662C" w14:textId="7ADF5A68" w:rsidR="00327289" w:rsidRPr="00CA01F2" w:rsidRDefault="006227DC" w:rsidP="007C2810">
      <w:pPr>
        <w:numPr>
          <w:ilvl w:val="0"/>
          <w:numId w:val="7"/>
        </w:numPr>
        <w:pBdr>
          <w:top w:val="nil"/>
          <w:left w:val="nil"/>
          <w:bottom w:val="nil"/>
          <w:right w:val="nil"/>
          <w:between w:val="nil"/>
        </w:pBdr>
        <w:spacing w:line="276" w:lineRule="auto"/>
        <w:ind w:left="284"/>
        <w:jc w:val="both"/>
        <w:rPr>
          <w:rFonts w:ascii="Arial" w:eastAsia="Arial" w:hAnsi="Arial" w:cs="Arial"/>
          <w:color w:val="000000"/>
          <w:sz w:val="22"/>
          <w:szCs w:val="22"/>
        </w:rPr>
      </w:pPr>
      <w:r w:rsidRPr="00CA01F2">
        <w:rPr>
          <w:rFonts w:ascii="Arial" w:eastAsia="Arial" w:hAnsi="Arial" w:cs="Arial"/>
          <w:color w:val="000000"/>
          <w:sz w:val="22"/>
          <w:szCs w:val="22"/>
        </w:rPr>
        <w:lastRenderedPageBreak/>
        <w:t xml:space="preserve">Evaluación de la contribución de la rendición de cuentas a la gestión de la entidad (resultados e impacto). </w:t>
      </w:r>
    </w:p>
    <w:p w14:paraId="1DB63471" w14:textId="77777777" w:rsidR="00DC122F" w:rsidRDefault="00DC122F">
      <w:pPr>
        <w:pBdr>
          <w:top w:val="nil"/>
          <w:left w:val="nil"/>
          <w:bottom w:val="nil"/>
          <w:right w:val="nil"/>
          <w:between w:val="nil"/>
        </w:pBdr>
        <w:ind w:left="284"/>
        <w:jc w:val="both"/>
        <w:rPr>
          <w:rFonts w:ascii="Arial" w:eastAsia="Arial" w:hAnsi="Arial" w:cs="Arial"/>
          <w:color w:val="000000"/>
          <w:sz w:val="22"/>
          <w:szCs w:val="22"/>
        </w:rPr>
      </w:pPr>
    </w:p>
    <w:p w14:paraId="72D66B71" w14:textId="77777777" w:rsidR="00327289" w:rsidRDefault="00327289">
      <w:pPr>
        <w:pBdr>
          <w:top w:val="nil"/>
          <w:left w:val="nil"/>
          <w:bottom w:val="nil"/>
          <w:right w:val="nil"/>
          <w:between w:val="nil"/>
        </w:pBdr>
        <w:ind w:left="720"/>
        <w:jc w:val="both"/>
        <w:rPr>
          <w:rFonts w:ascii="Arial" w:eastAsia="Arial" w:hAnsi="Arial" w:cs="Arial"/>
          <w:color w:val="000000"/>
          <w:sz w:val="22"/>
          <w:szCs w:val="22"/>
        </w:rPr>
      </w:pPr>
    </w:p>
    <w:p w14:paraId="26E4B681" w14:textId="77777777" w:rsidR="00327289" w:rsidRDefault="006227DC" w:rsidP="004576E9">
      <w:pPr>
        <w:pStyle w:val="Ttulo1"/>
        <w:numPr>
          <w:ilvl w:val="0"/>
          <w:numId w:val="9"/>
        </w:numPr>
        <w:spacing w:line="240" w:lineRule="auto"/>
        <w:jc w:val="left"/>
        <w:rPr>
          <w:sz w:val="22"/>
          <w:szCs w:val="22"/>
        </w:rPr>
      </w:pPr>
      <w:bookmarkStart w:id="16" w:name="_Toc78483650"/>
      <w:r>
        <w:rPr>
          <w:sz w:val="22"/>
          <w:szCs w:val="22"/>
        </w:rPr>
        <w:t>NORMATIVIDAD</w:t>
      </w:r>
      <w:bookmarkEnd w:id="16"/>
    </w:p>
    <w:p w14:paraId="2F3A2E6F" w14:textId="77777777" w:rsidR="00327289" w:rsidRDefault="00327289">
      <w:pPr>
        <w:jc w:val="both"/>
        <w:rPr>
          <w:rFonts w:ascii="Arial" w:eastAsia="Arial" w:hAnsi="Arial" w:cs="Arial"/>
          <w:sz w:val="22"/>
          <w:szCs w:val="22"/>
        </w:rPr>
      </w:pPr>
    </w:p>
    <w:tbl>
      <w:tblPr>
        <w:tblStyle w:val="a2"/>
        <w:tblW w:w="9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5"/>
        <w:gridCol w:w="2895"/>
        <w:gridCol w:w="4814"/>
      </w:tblGrid>
      <w:tr w:rsidR="00327289" w14:paraId="7E757893"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66141B4F" w14:textId="77777777" w:rsidR="00327289" w:rsidRDefault="006227DC">
            <w:pPr>
              <w:jc w:val="center"/>
              <w:rPr>
                <w:rFonts w:ascii="Arial" w:eastAsia="Arial" w:hAnsi="Arial" w:cs="Arial"/>
                <w:b/>
                <w:sz w:val="18"/>
                <w:szCs w:val="18"/>
              </w:rPr>
            </w:pPr>
            <w:r>
              <w:rPr>
                <w:rFonts w:ascii="Arial" w:eastAsia="Arial" w:hAnsi="Arial" w:cs="Arial"/>
                <w:b/>
                <w:sz w:val="18"/>
                <w:szCs w:val="18"/>
              </w:rPr>
              <w:t>Normatividad</w:t>
            </w:r>
          </w:p>
        </w:tc>
        <w:tc>
          <w:tcPr>
            <w:tcW w:w="2895" w:type="dxa"/>
            <w:tcBorders>
              <w:top w:val="single" w:sz="4" w:space="0" w:color="000000"/>
              <w:left w:val="single" w:sz="4" w:space="0" w:color="000000"/>
              <w:bottom w:val="single" w:sz="4" w:space="0" w:color="000000"/>
              <w:right w:val="single" w:sz="4" w:space="0" w:color="000000"/>
            </w:tcBorders>
            <w:vAlign w:val="center"/>
          </w:tcPr>
          <w:p w14:paraId="2C688E60" w14:textId="77777777" w:rsidR="00327289" w:rsidRDefault="006227DC">
            <w:pPr>
              <w:jc w:val="center"/>
              <w:rPr>
                <w:rFonts w:ascii="Arial" w:eastAsia="Arial" w:hAnsi="Arial" w:cs="Arial"/>
                <w:b/>
                <w:sz w:val="18"/>
                <w:szCs w:val="18"/>
              </w:rPr>
            </w:pPr>
            <w:r>
              <w:rPr>
                <w:rFonts w:ascii="Arial" w:eastAsia="Arial" w:hAnsi="Arial" w:cs="Arial"/>
                <w:b/>
                <w:sz w:val="18"/>
                <w:szCs w:val="18"/>
              </w:rPr>
              <w:t>Generalidad</w:t>
            </w:r>
          </w:p>
        </w:tc>
        <w:tc>
          <w:tcPr>
            <w:tcW w:w="4814" w:type="dxa"/>
            <w:tcBorders>
              <w:top w:val="single" w:sz="4" w:space="0" w:color="000000"/>
              <w:left w:val="single" w:sz="4" w:space="0" w:color="000000"/>
              <w:bottom w:val="single" w:sz="4" w:space="0" w:color="000000"/>
              <w:right w:val="single" w:sz="4" w:space="0" w:color="000000"/>
            </w:tcBorders>
            <w:vAlign w:val="center"/>
          </w:tcPr>
          <w:p w14:paraId="422AC933" w14:textId="77777777" w:rsidR="00327289" w:rsidRDefault="006227DC">
            <w:pPr>
              <w:jc w:val="center"/>
              <w:rPr>
                <w:rFonts w:ascii="Arial" w:eastAsia="Arial" w:hAnsi="Arial" w:cs="Arial"/>
                <w:b/>
                <w:sz w:val="18"/>
                <w:szCs w:val="18"/>
              </w:rPr>
            </w:pPr>
            <w:r>
              <w:rPr>
                <w:rFonts w:ascii="Arial" w:eastAsia="Arial" w:hAnsi="Arial" w:cs="Arial"/>
                <w:b/>
                <w:sz w:val="18"/>
                <w:szCs w:val="18"/>
              </w:rPr>
              <w:t>Aplicabilidad</w:t>
            </w:r>
          </w:p>
        </w:tc>
      </w:tr>
      <w:tr w:rsidR="00327289" w14:paraId="66559D99"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7B9F9171" w14:textId="77777777" w:rsidR="00327289" w:rsidRDefault="006227DC">
            <w:pPr>
              <w:rPr>
                <w:rFonts w:ascii="Arial" w:eastAsia="Arial" w:hAnsi="Arial" w:cs="Arial"/>
                <w:sz w:val="18"/>
                <w:szCs w:val="18"/>
              </w:rPr>
            </w:pPr>
            <w:r>
              <w:rPr>
                <w:rFonts w:ascii="Arial" w:eastAsia="Arial" w:hAnsi="Arial" w:cs="Arial"/>
                <w:sz w:val="18"/>
                <w:szCs w:val="18"/>
              </w:rPr>
              <w:t>Ley 489 de 1998</w:t>
            </w:r>
          </w:p>
          <w:p w14:paraId="339B8793" w14:textId="77777777" w:rsidR="00327289" w:rsidRDefault="00327289">
            <w:pPr>
              <w:jc w:val="both"/>
              <w:rPr>
                <w:rFonts w:ascii="Arial" w:eastAsia="Arial" w:hAnsi="Arial" w:cs="Arial"/>
                <w:sz w:val="18"/>
                <w:szCs w:val="18"/>
              </w:rPr>
            </w:pPr>
          </w:p>
        </w:tc>
        <w:tc>
          <w:tcPr>
            <w:tcW w:w="2895" w:type="dxa"/>
            <w:tcBorders>
              <w:top w:val="single" w:sz="4" w:space="0" w:color="000000"/>
              <w:left w:val="single" w:sz="4" w:space="0" w:color="000000"/>
              <w:bottom w:val="single" w:sz="4" w:space="0" w:color="000000"/>
              <w:right w:val="single" w:sz="4" w:space="0" w:color="000000"/>
            </w:tcBorders>
            <w:vAlign w:val="center"/>
          </w:tcPr>
          <w:p w14:paraId="70ACDF0D" w14:textId="77777777" w:rsidR="00327289" w:rsidRDefault="006227DC">
            <w:pPr>
              <w:jc w:val="both"/>
              <w:rPr>
                <w:rFonts w:ascii="Arial" w:eastAsia="Arial" w:hAnsi="Arial" w:cs="Arial"/>
                <w:sz w:val="18"/>
                <w:szCs w:val="18"/>
              </w:rPr>
            </w:pPr>
            <w:r>
              <w:rPr>
                <w:rFonts w:ascii="Arial" w:eastAsia="Arial" w:hAnsi="Arial" w:cs="Arial"/>
                <w:sz w:val="18"/>
                <w:szCs w:val="18"/>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c>
          <w:tcPr>
            <w:tcW w:w="4814" w:type="dxa"/>
            <w:tcBorders>
              <w:top w:val="single" w:sz="4" w:space="0" w:color="000000"/>
              <w:left w:val="single" w:sz="4" w:space="0" w:color="000000"/>
              <w:bottom w:val="single" w:sz="4" w:space="0" w:color="000000"/>
              <w:right w:val="single" w:sz="4" w:space="0" w:color="000000"/>
            </w:tcBorders>
            <w:vAlign w:val="center"/>
          </w:tcPr>
          <w:p w14:paraId="32F5EEF5" w14:textId="77777777" w:rsidR="00327289" w:rsidRDefault="006227DC">
            <w:pPr>
              <w:numPr>
                <w:ilvl w:val="0"/>
                <w:numId w:val="3"/>
              </w:numPr>
              <w:tabs>
                <w:tab w:val="left" w:pos="298"/>
              </w:tabs>
              <w:ind w:left="176" w:hanging="142"/>
              <w:jc w:val="both"/>
              <w:rPr>
                <w:rFonts w:ascii="Arial" w:eastAsia="Arial" w:hAnsi="Arial" w:cs="Arial"/>
                <w:sz w:val="18"/>
                <w:szCs w:val="18"/>
              </w:rPr>
            </w:pPr>
            <w:r>
              <w:rPr>
                <w:rFonts w:ascii="Arial" w:eastAsia="Arial" w:hAnsi="Arial" w:cs="Arial"/>
                <w:sz w:val="18"/>
                <w:szCs w:val="18"/>
              </w:rPr>
              <w:t>Artículo 3: Principios de la función administrativa.</w:t>
            </w:r>
          </w:p>
          <w:p w14:paraId="1FDD02F3" w14:textId="77777777" w:rsidR="00327289" w:rsidRDefault="006227DC">
            <w:pPr>
              <w:numPr>
                <w:ilvl w:val="0"/>
                <w:numId w:val="3"/>
              </w:numPr>
              <w:tabs>
                <w:tab w:val="left" w:pos="298"/>
              </w:tabs>
              <w:ind w:left="176" w:hanging="142"/>
              <w:jc w:val="both"/>
              <w:rPr>
                <w:rFonts w:ascii="Arial" w:eastAsia="Arial" w:hAnsi="Arial" w:cs="Arial"/>
                <w:sz w:val="18"/>
                <w:szCs w:val="18"/>
              </w:rPr>
            </w:pPr>
            <w:r>
              <w:rPr>
                <w:rFonts w:ascii="Arial" w:eastAsia="Arial" w:hAnsi="Arial" w:cs="Arial"/>
                <w:sz w:val="18"/>
                <w:szCs w:val="18"/>
              </w:rPr>
              <w:t>Artículo 26: Estímulos e incentivos a la gestión pública.</w:t>
            </w:r>
          </w:p>
          <w:p w14:paraId="7CC6E4DD" w14:textId="77777777" w:rsidR="00327289" w:rsidRDefault="006227DC">
            <w:pPr>
              <w:numPr>
                <w:ilvl w:val="0"/>
                <w:numId w:val="3"/>
              </w:numPr>
              <w:tabs>
                <w:tab w:val="left" w:pos="298"/>
              </w:tabs>
              <w:ind w:left="176" w:hanging="142"/>
              <w:jc w:val="both"/>
              <w:rPr>
                <w:rFonts w:ascii="Arial" w:eastAsia="Arial" w:hAnsi="Arial" w:cs="Arial"/>
                <w:sz w:val="18"/>
                <w:szCs w:val="18"/>
              </w:rPr>
            </w:pPr>
            <w:r>
              <w:rPr>
                <w:rFonts w:ascii="Arial" w:eastAsia="Arial" w:hAnsi="Arial" w:cs="Arial"/>
                <w:sz w:val="18"/>
                <w:szCs w:val="18"/>
              </w:rPr>
              <w:t>Artículo 32: Democratización de la administración pública.</w:t>
            </w:r>
          </w:p>
          <w:p w14:paraId="7546E226" w14:textId="77777777" w:rsidR="00327289" w:rsidRDefault="006227DC">
            <w:pPr>
              <w:numPr>
                <w:ilvl w:val="0"/>
                <w:numId w:val="3"/>
              </w:numPr>
              <w:tabs>
                <w:tab w:val="left" w:pos="298"/>
              </w:tabs>
              <w:ind w:left="176" w:hanging="142"/>
              <w:jc w:val="both"/>
              <w:rPr>
                <w:rFonts w:ascii="Arial" w:eastAsia="Arial" w:hAnsi="Arial" w:cs="Arial"/>
                <w:sz w:val="18"/>
                <w:szCs w:val="18"/>
              </w:rPr>
            </w:pPr>
            <w:r>
              <w:rPr>
                <w:rFonts w:ascii="Arial" w:eastAsia="Arial" w:hAnsi="Arial" w:cs="Arial"/>
                <w:sz w:val="18"/>
                <w:szCs w:val="18"/>
              </w:rPr>
              <w:t>Artículo 33: Audiencias públicas</w:t>
            </w:r>
          </w:p>
          <w:p w14:paraId="3B5ED35A" w14:textId="77777777" w:rsidR="00327289" w:rsidRDefault="006227DC">
            <w:pPr>
              <w:numPr>
                <w:ilvl w:val="0"/>
                <w:numId w:val="3"/>
              </w:numPr>
              <w:tabs>
                <w:tab w:val="left" w:pos="298"/>
              </w:tabs>
              <w:ind w:left="15" w:firstLine="0"/>
              <w:jc w:val="both"/>
              <w:rPr>
                <w:rFonts w:ascii="Arial" w:eastAsia="Arial" w:hAnsi="Arial" w:cs="Arial"/>
                <w:sz w:val="18"/>
                <w:szCs w:val="18"/>
              </w:rPr>
            </w:pPr>
            <w:r>
              <w:rPr>
                <w:rFonts w:ascii="Arial" w:eastAsia="Arial" w:hAnsi="Arial" w:cs="Arial"/>
                <w:sz w:val="18"/>
                <w:szCs w:val="18"/>
              </w:rPr>
              <w:t>Artículo 34: Ejercicio del control social.</w:t>
            </w:r>
          </w:p>
          <w:p w14:paraId="3FDEEDCD" w14:textId="77777777" w:rsidR="00327289" w:rsidRDefault="006227DC">
            <w:pPr>
              <w:jc w:val="both"/>
              <w:rPr>
                <w:rFonts w:ascii="Arial" w:eastAsia="Arial" w:hAnsi="Arial" w:cs="Arial"/>
                <w:sz w:val="18"/>
                <w:szCs w:val="18"/>
              </w:rPr>
            </w:pPr>
            <w:r>
              <w:rPr>
                <w:rFonts w:ascii="Arial" w:eastAsia="Arial" w:hAnsi="Arial" w:cs="Arial"/>
                <w:sz w:val="18"/>
                <w:szCs w:val="18"/>
              </w:rPr>
              <w:t>Artículo 35: Ejercicio de veeduría ciudadana</w:t>
            </w:r>
          </w:p>
        </w:tc>
      </w:tr>
      <w:tr w:rsidR="00327289" w14:paraId="60502DD7"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7D8BE566" w14:textId="77777777" w:rsidR="00327289" w:rsidRDefault="006227DC">
            <w:pPr>
              <w:rPr>
                <w:rFonts w:ascii="Arial" w:eastAsia="Arial" w:hAnsi="Arial" w:cs="Arial"/>
                <w:sz w:val="18"/>
                <w:szCs w:val="18"/>
              </w:rPr>
            </w:pPr>
            <w:r>
              <w:rPr>
                <w:rFonts w:ascii="Arial" w:eastAsia="Arial" w:hAnsi="Arial" w:cs="Arial"/>
                <w:sz w:val="18"/>
                <w:szCs w:val="18"/>
              </w:rPr>
              <w:t>Ley 850 de 2003</w:t>
            </w:r>
          </w:p>
          <w:p w14:paraId="7AEC6CB1" w14:textId="77777777" w:rsidR="00327289" w:rsidRDefault="00327289">
            <w:pPr>
              <w:jc w:val="both"/>
              <w:rPr>
                <w:rFonts w:ascii="Arial" w:eastAsia="Arial" w:hAnsi="Arial" w:cs="Arial"/>
                <w:sz w:val="18"/>
                <w:szCs w:val="18"/>
              </w:rPr>
            </w:pPr>
          </w:p>
        </w:tc>
        <w:tc>
          <w:tcPr>
            <w:tcW w:w="2895" w:type="dxa"/>
            <w:tcBorders>
              <w:top w:val="single" w:sz="4" w:space="0" w:color="000000"/>
              <w:left w:val="single" w:sz="4" w:space="0" w:color="000000"/>
              <w:bottom w:val="single" w:sz="4" w:space="0" w:color="000000"/>
              <w:right w:val="single" w:sz="4" w:space="0" w:color="000000"/>
            </w:tcBorders>
            <w:vAlign w:val="center"/>
          </w:tcPr>
          <w:p w14:paraId="5B12BF34" w14:textId="77777777" w:rsidR="00327289" w:rsidRDefault="006227DC">
            <w:pPr>
              <w:jc w:val="both"/>
              <w:rPr>
                <w:rFonts w:ascii="Arial" w:eastAsia="Arial" w:hAnsi="Arial" w:cs="Arial"/>
                <w:sz w:val="18"/>
                <w:szCs w:val="18"/>
              </w:rPr>
            </w:pPr>
            <w:r>
              <w:rPr>
                <w:rFonts w:ascii="Arial" w:eastAsia="Arial" w:hAnsi="Arial" w:cs="Arial"/>
                <w:sz w:val="18"/>
                <w:szCs w:val="18"/>
              </w:rPr>
              <w:t>Por medio de la cual se reglamentan las veedurías ciudadanas</w:t>
            </w:r>
          </w:p>
        </w:tc>
        <w:tc>
          <w:tcPr>
            <w:tcW w:w="4814" w:type="dxa"/>
            <w:tcBorders>
              <w:top w:val="single" w:sz="4" w:space="0" w:color="000000"/>
              <w:left w:val="single" w:sz="4" w:space="0" w:color="000000"/>
              <w:bottom w:val="single" w:sz="4" w:space="0" w:color="000000"/>
              <w:right w:val="single" w:sz="4" w:space="0" w:color="000000"/>
            </w:tcBorders>
            <w:vAlign w:val="center"/>
          </w:tcPr>
          <w:p w14:paraId="793E264C" w14:textId="77777777" w:rsidR="00327289" w:rsidRDefault="006227DC">
            <w:pPr>
              <w:spacing w:after="200"/>
              <w:jc w:val="both"/>
              <w:rPr>
                <w:rFonts w:ascii="Arial" w:eastAsia="Arial" w:hAnsi="Arial" w:cs="Arial"/>
                <w:sz w:val="18"/>
                <w:szCs w:val="18"/>
              </w:rPr>
            </w:pPr>
            <w:r>
              <w:rPr>
                <w:rFonts w:ascii="Arial" w:eastAsia="Arial" w:hAnsi="Arial" w:cs="Arial"/>
                <w:sz w:val="18"/>
                <w:szCs w:val="18"/>
              </w:rPr>
              <w:t>Disposiciones sobre su funcionamiento y su derecho a la información. Establece que las autoridades deben apoyar a estos mecanismos de control social.</w:t>
            </w:r>
          </w:p>
        </w:tc>
      </w:tr>
      <w:tr w:rsidR="00327289" w14:paraId="4F29731A"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7EFB713C" w14:textId="77777777" w:rsidR="00327289" w:rsidRDefault="006227DC">
            <w:pPr>
              <w:jc w:val="both"/>
              <w:rPr>
                <w:rFonts w:ascii="Arial" w:eastAsia="Arial" w:hAnsi="Arial" w:cs="Arial"/>
                <w:sz w:val="18"/>
                <w:szCs w:val="18"/>
              </w:rPr>
            </w:pPr>
            <w:r>
              <w:rPr>
                <w:rFonts w:ascii="Arial" w:eastAsia="Arial" w:hAnsi="Arial" w:cs="Arial"/>
                <w:sz w:val="18"/>
                <w:szCs w:val="18"/>
              </w:rPr>
              <w:t>CONPES 3654 de 2010</w:t>
            </w:r>
          </w:p>
        </w:tc>
        <w:tc>
          <w:tcPr>
            <w:tcW w:w="2895" w:type="dxa"/>
            <w:tcBorders>
              <w:top w:val="single" w:sz="4" w:space="0" w:color="000000"/>
              <w:left w:val="single" w:sz="4" w:space="0" w:color="000000"/>
              <w:bottom w:val="single" w:sz="4" w:space="0" w:color="000000"/>
              <w:right w:val="single" w:sz="4" w:space="0" w:color="000000"/>
            </w:tcBorders>
            <w:vAlign w:val="center"/>
          </w:tcPr>
          <w:p w14:paraId="0F340CBA" w14:textId="77777777" w:rsidR="00327289" w:rsidRDefault="006227DC">
            <w:pPr>
              <w:jc w:val="both"/>
              <w:rPr>
                <w:rFonts w:ascii="Arial" w:eastAsia="Arial" w:hAnsi="Arial" w:cs="Arial"/>
                <w:sz w:val="18"/>
                <w:szCs w:val="18"/>
              </w:rPr>
            </w:pPr>
            <w:r>
              <w:rPr>
                <w:rFonts w:ascii="Arial" w:eastAsia="Arial" w:hAnsi="Arial" w:cs="Arial"/>
                <w:sz w:val="18"/>
                <w:szCs w:val="18"/>
              </w:rPr>
              <w:t>Política de Rendición de Cuentas de la Rama Ejecutiva a los Ciudadanos.</w:t>
            </w:r>
          </w:p>
        </w:tc>
        <w:tc>
          <w:tcPr>
            <w:tcW w:w="4814" w:type="dxa"/>
            <w:tcBorders>
              <w:top w:val="single" w:sz="4" w:space="0" w:color="000000"/>
              <w:left w:val="single" w:sz="4" w:space="0" w:color="000000"/>
              <w:bottom w:val="single" w:sz="4" w:space="0" w:color="000000"/>
              <w:right w:val="single" w:sz="4" w:space="0" w:color="000000"/>
            </w:tcBorders>
            <w:vAlign w:val="center"/>
          </w:tcPr>
          <w:p w14:paraId="5AD8EDD9" w14:textId="77777777" w:rsidR="00327289" w:rsidRDefault="006227DC">
            <w:pPr>
              <w:jc w:val="both"/>
              <w:rPr>
                <w:rFonts w:ascii="Arial" w:eastAsia="Arial" w:hAnsi="Arial" w:cs="Arial"/>
                <w:sz w:val="18"/>
                <w:szCs w:val="18"/>
              </w:rPr>
            </w:pPr>
            <w:r>
              <w:rPr>
                <w:rFonts w:ascii="Arial" w:eastAsia="Arial" w:hAnsi="Arial" w:cs="Arial"/>
                <w:sz w:val="18"/>
                <w:szCs w:val="18"/>
              </w:rPr>
              <w:t>Presenta lineamientos de política para consolidar la rendición de cuentas como un proceso permanente entre la rama ejecutiva y los ciudadanos</w:t>
            </w:r>
          </w:p>
        </w:tc>
      </w:tr>
      <w:tr w:rsidR="00327289" w14:paraId="4781E4B0"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04317B0D" w14:textId="77777777" w:rsidR="00327289" w:rsidRDefault="006227DC">
            <w:pPr>
              <w:jc w:val="both"/>
              <w:rPr>
                <w:rFonts w:ascii="Arial" w:eastAsia="Arial" w:hAnsi="Arial" w:cs="Arial"/>
                <w:sz w:val="18"/>
                <w:szCs w:val="18"/>
              </w:rPr>
            </w:pPr>
            <w:r>
              <w:rPr>
                <w:rFonts w:ascii="Arial" w:eastAsia="Arial" w:hAnsi="Arial" w:cs="Arial"/>
                <w:sz w:val="18"/>
                <w:szCs w:val="18"/>
              </w:rPr>
              <w:t>Ley 1712 de 2014</w:t>
            </w:r>
          </w:p>
        </w:tc>
        <w:tc>
          <w:tcPr>
            <w:tcW w:w="2895" w:type="dxa"/>
            <w:tcBorders>
              <w:top w:val="single" w:sz="4" w:space="0" w:color="000000"/>
              <w:left w:val="single" w:sz="4" w:space="0" w:color="000000"/>
              <w:bottom w:val="single" w:sz="4" w:space="0" w:color="000000"/>
              <w:right w:val="single" w:sz="4" w:space="0" w:color="000000"/>
            </w:tcBorders>
            <w:vAlign w:val="center"/>
          </w:tcPr>
          <w:p w14:paraId="794A4396" w14:textId="77777777" w:rsidR="00327289" w:rsidRDefault="006227DC">
            <w:pPr>
              <w:jc w:val="both"/>
              <w:rPr>
                <w:rFonts w:ascii="Arial" w:eastAsia="Arial" w:hAnsi="Arial" w:cs="Arial"/>
                <w:sz w:val="18"/>
                <w:szCs w:val="18"/>
              </w:rPr>
            </w:pPr>
            <w:r>
              <w:rPr>
                <w:rFonts w:ascii="Arial" w:eastAsia="Arial" w:hAnsi="Arial" w:cs="Arial"/>
                <w:sz w:val="18"/>
                <w:szCs w:val="18"/>
              </w:rPr>
              <w:t xml:space="preserve">Por medio de la cual se crea la Ley de Transparencia y del Derecho de Acceso a la información Pública Nacional </w:t>
            </w:r>
          </w:p>
        </w:tc>
        <w:tc>
          <w:tcPr>
            <w:tcW w:w="4814" w:type="dxa"/>
            <w:tcBorders>
              <w:top w:val="single" w:sz="4" w:space="0" w:color="000000"/>
              <w:left w:val="single" w:sz="4" w:space="0" w:color="000000"/>
              <w:bottom w:val="single" w:sz="4" w:space="0" w:color="000000"/>
              <w:right w:val="single" w:sz="4" w:space="0" w:color="000000"/>
            </w:tcBorders>
            <w:vAlign w:val="center"/>
          </w:tcPr>
          <w:p w14:paraId="310FD598" w14:textId="77777777" w:rsidR="00327289" w:rsidRDefault="006227DC">
            <w:pPr>
              <w:jc w:val="both"/>
              <w:rPr>
                <w:rFonts w:ascii="Arial" w:eastAsia="Arial" w:hAnsi="Arial" w:cs="Arial"/>
                <w:sz w:val="18"/>
                <w:szCs w:val="18"/>
              </w:rPr>
            </w:pPr>
            <w:r>
              <w:rPr>
                <w:rFonts w:ascii="Arial" w:eastAsia="Arial" w:hAnsi="Arial" w:cs="Arial"/>
                <w:sz w:val="18"/>
                <w:szCs w:val="18"/>
              </w:rPr>
              <w:t>Regular el derecho de acceso a la información pública, los procedimientos para el ejercicio y garantía del derecho y las excepciones a la publicidad de información.</w:t>
            </w:r>
          </w:p>
        </w:tc>
      </w:tr>
      <w:tr w:rsidR="00327289" w14:paraId="54BC2FC7"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5D2EFDD1" w14:textId="77777777" w:rsidR="00327289" w:rsidRDefault="006227DC">
            <w:pPr>
              <w:jc w:val="both"/>
              <w:rPr>
                <w:rFonts w:ascii="Arial" w:eastAsia="Arial" w:hAnsi="Arial" w:cs="Arial"/>
                <w:sz w:val="18"/>
                <w:szCs w:val="18"/>
              </w:rPr>
            </w:pPr>
            <w:r>
              <w:rPr>
                <w:rFonts w:ascii="Arial" w:eastAsia="Arial" w:hAnsi="Arial" w:cs="Arial"/>
                <w:sz w:val="18"/>
                <w:szCs w:val="18"/>
              </w:rPr>
              <w:t xml:space="preserve">Ley 1757 de 2015 </w:t>
            </w:r>
          </w:p>
        </w:tc>
        <w:tc>
          <w:tcPr>
            <w:tcW w:w="2895" w:type="dxa"/>
            <w:tcBorders>
              <w:top w:val="single" w:sz="4" w:space="0" w:color="000000"/>
              <w:left w:val="single" w:sz="4" w:space="0" w:color="000000"/>
              <w:bottom w:val="single" w:sz="4" w:space="0" w:color="000000"/>
              <w:right w:val="single" w:sz="4" w:space="0" w:color="000000"/>
            </w:tcBorders>
            <w:vAlign w:val="center"/>
          </w:tcPr>
          <w:p w14:paraId="6ECC1882" w14:textId="77777777" w:rsidR="00327289" w:rsidRDefault="006227DC">
            <w:pPr>
              <w:jc w:val="both"/>
              <w:rPr>
                <w:rFonts w:ascii="Arial" w:eastAsia="Arial" w:hAnsi="Arial" w:cs="Arial"/>
                <w:sz w:val="18"/>
                <w:szCs w:val="18"/>
              </w:rPr>
            </w:pPr>
            <w:r>
              <w:rPr>
                <w:rFonts w:ascii="Arial" w:eastAsia="Arial" w:hAnsi="Arial" w:cs="Arial"/>
                <w:sz w:val="18"/>
                <w:szCs w:val="18"/>
              </w:rPr>
              <w:t>Por la cual se dictan disposiciones en materia de promoción y protección del derecho a la participación democrática</w:t>
            </w:r>
          </w:p>
        </w:tc>
        <w:tc>
          <w:tcPr>
            <w:tcW w:w="4814" w:type="dxa"/>
            <w:tcBorders>
              <w:top w:val="single" w:sz="4" w:space="0" w:color="000000"/>
              <w:left w:val="single" w:sz="4" w:space="0" w:color="000000"/>
              <w:bottom w:val="single" w:sz="4" w:space="0" w:color="000000"/>
              <w:right w:val="single" w:sz="4" w:space="0" w:color="000000"/>
            </w:tcBorders>
            <w:vAlign w:val="center"/>
          </w:tcPr>
          <w:p w14:paraId="26D52E69" w14:textId="77777777" w:rsidR="00327289" w:rsidRDefault="006227DC">
            <w:pPr>
              <w:jc w:val="both"/>
              <w:rPr>
                <w:rFonts w:ascii="Arial" w:eastAsia="Arial" w:hAnsi="Arial" w:cs="Arial"/>
                <w:sz w:val="18"/>
                <w:szCs w:val="18"/>
              </w:rPr>
            </w:pPr>
            <w:r>
              <w:rPr>
                <w:rFonts w:ascii="Arial" w:eastAsia="Arial" w:hAnsi="Arial" w:cs="Arial"/>
                <w:sz w:val="18"/>
                <w:szCs w:val="18"/>
              </w:rPr>
              <w:t>Promover, proteger y garantizar modalidades del derecho a participar en la vida política, administrativa, económica, social y cultural, y así mismo a controlar el poder político.</w:t>
            </w:r>
          </w:p>
          <w:p w14:paraId="5B623D4C" w14:textId="77777777" w:rsidR="00327289" w:rsidRDefault="006227DC">
            <w:pPr>
              <w:numPr>
                <w:ilvl w:val="0"/>
                <w:numId w:val="4"/>
              </w:numPr>
              <w:tabs>
                <w:tab w:val="left" w:pos="295"/>
              </w:tabs>
              <w:ind w:left="12" w:firstLine="0"/>
              <w:jc w:val="both"/>
              <w:rPr>
                <w:rFonts w:ascii="Arial" w:eastAsia="Arial" w:hAnsi="Arial" w:cs="Arial"/>
                <w:sz w:val="18"/>
                <w:szCs w:val="18"/>
              </w:rPr>
            </w:pPr>
            <w:r>
              <w:rPr>
                <w:rFonts w:ascii="Arial" w:eastAsia="Arial" w:hAnsi="Arial" w:cs="Arial"/>
                <w:sz w:val="18"/>
                <w:szCs w:val="18"/>
              </w:rPr>
              <w:t>Título IV de la Rendición de Cuentas</w:t>
            </w:r>
          </w:p>
          <w:p w14:paraId="62D66D91" w14:textId="77777777" w:rsidR="00327289" w:rsidRDefault="006227DC">
            <w:pPr>
              <w:numPr>
                <w:ilvl w:val="0"/>
                <w:numId w:val="4"/>
              </w:numPr>
              <w:tabs>
                <w:tab w:val="left" w:pos="295"/>
              </w:tabs>
              <w:ind w:left="12" w:firstLine="0"/>
              <w:jc w:val="both"/>
              <w:rPr>
                <w:rFonts w:ascii="Arial" w:eastAsia="Arial" w:hAnsi="Arial" w:cs="Arial"/>
                <w:sz w:val="18"/>
                <w:szCs w:val="18"/>
              </w:rPr>
            </w:pPr>
            <w:r>
              <w:rPr>
                <w:rFonts w:ascii="Arial" w:eastAsia="Arial" w:hAnsi="Arial" w:cs="Arial"/>
                <w:sz w:val="18"/>
                <w:szCs w:val="18"/>
              </w:rPr>
              <w:t>Capítulo I Rendición de cuentas de la Rama Ejecutiva.</w:t>
            </w:r>
          </w:p>
          <w:p w14:paraId="57362F2A" w14:textId="77777777" w:rsidR="00327289" w:rsidRDefault="006227DC">
            <w:pPr>
              <w:jc w:val="both"/>
              <w:rPr>
                <w:rFonts w:ascii="Arial" w:eastAsia="Arial" w:hAnsi="Arial" w:cs="Arial"/>
                <w:sz w:val="18"/>
                <w:szCs w:val="18"/>
              </w:rPr>
            </w:pPr>
            <w:r>
              <w:rPr>
                <w:rFonts w:ascii="Arial" w:eastAsia="Arial" w:hAnsi="Arial" w:cs="Arial"/>
                <w:sz w:val="18"/>
                <w:szCs w:val="18"/>
              </w:rPr>
              <w:t>Artículo 48 a 57: Disposiciones en materia de rendición de cuentas.</w:t>
            </w:r>
          </w:p>
        </w:tc>
      </w:tr>
      <w:tr w:rsidR="00327289" w14:paraId="7F288096"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5281D71C" w14:textId="77777777" w:rsidR="00327289" w:rsidRDefault="006227DC">
            <w:pPr>
              <w:jc w:val="both"/>
              <w:rPr>
                <w:rFonts w:ascii="Arial" w:eastAsia="Arial" w:hAnsi="Arial" w:cs="Arial"/>
                <w:sz w:val="18"/>
                <w:szCs w:val="18"/>
              </w:rPr>
            </w:pPr>
            <w:r>
              <w:rPr>
                <w:rFonts w:ascii="Arial" w:eastAsia="Arial" w:hAnsi="Arial" w:cs="Arial"/>
                <w:sz w:val="18"/>
                <w:szCs w:val="18"/>
              </w:rPr>
              <w:t>Decreto Nacional 1499 de 2017</w:t>
            </w:r>
          </w:p>
        </w:tc>
        <w:tc>
          <w:tcPr>
            <w:tcW w:w="2895" w:type="dxa"/>
            <w:tcBorders>
              <w:top w:val="single" w:sz="4" w:space="0" w:color="000000"/>
              <w:left w:val="single" w:sz="4" w:space="0" w:color="000000"/>
              <w:bottom w:val="single" w:sz="4" w:space="0" w:color="000000"/>
              <w:right w:val="single" w:sz="4" w:space="0" w:color="000000"/>
            </w:tcBorders>
            <w:vAlign w:val="center"/>
          </w:tcPr>
          <w:p w14:paraId="5A2623A3" w14:textId="77777777" w:rsidR="00327289" w:rsidRDefault="006227DC">
            <w:pPr>
              <w:jc w:val="both"/>
              <w:rPr>
                <w:rFonts w:ascii="Arial" w:eastAsia="Arial" w:hAnsi="Arial" w:cs="Arial"/>
                <w:sz w:val="18"/>
                <w:szCs w:val="18"/>
              </w:rPr>
            </w:pPr>
            <w:r>
              <w:rPr>
                <w:rFonts w:ascii="Arial" w:eastAsia="Arial" w:hAnsi="Arial" w:cs="Arial"/>
                <w:sz w:val="18"/>
                <w:szCs w:val="18"/>
              </w:rPr>
              <w:t>Modelo Integrado de Planeación y Gestión</w:t>
            </w:r>
          </w:p>
        </w:tc>
        <w:tc>
          <w:tcPr>
            <w:tcW w:w="4814" w:type="dxa"/>
            <w:tcBorders>
              <w:top w:val="single" w:sz="4" w:space="0" w:color="000000"/>
              <w:left w:val="single" w:sz="4" w:space="0" w:color="000000"/>
              <w:bottom w:val="single" w:sz="4" w:space="0" w:color="000000"/>
              <w:right w:val="single" w:sz="4" w:space="0" w:color="000000"/>
            </w:tcBorders>
            <w:vAlign w:val="center"/>
          </w:tcPr>
          <w:p w14:paraId="04321596" w14:textId="77777777" w:rsidR="00327289" w:rsidRDefault="006227DC">
            <w:pPr>
              <w:jc w:val="both"/>
              <w:rPr>
                <w:rFonts w:ascii="Arial" w:eastAsia="Arial" w:hAnsi="Arial" w:cs="Arial"/>
                <w:sz w:val="18"/>
                <w:szCs w:val="18"/>
              </w:rPr>
            </w:pPr>
            <w:r>
              <w:rPr>
                <w:rFonts w:ascii="Arial" w:eastAsia="Arial" w:hAnsi="Arial" w:cs="Arial"/>
                <w:sz w:val="18"/>
                <w:szCs w:val="18"/>
              </w:rPr>
              <w:t>Lo relacionado con el Sistema de Gestión establecido en el artículo 133 de la Ley 1753 de 2015.</w:t>
            </w:r>
          </w:p>
          <w:p w14:paraId="1072C827" w14:textId="77777777" w:rsidR="00327289" w:rsidRDefault="006227DC">
            <w:pPr>
              <w:numPr>
                <w:ilvl w:val="0"/>
                <w:numId w:val="5"/>
              </w:numPr>
              <w:ind w:left="295" w:hanging="283"/>
              <w:jc w:val="both"/>
              <w:rPr>
                <w:rFonts w:ascii="Arial" w:eastAsia="Arial" w:hAnsi="Arial" w:cs="Arial"/>
                <w:sz w:val="18"/>
                <w:szCs w:val="18"/>
              </w:rPr>
            </w:pPr>
            <w:r>
              <w:rPr>
                <w:rFonts w:ascii="Arial" w:eastAsia="Arial" w:hAnsi="Arial" w:cs="Arial"/>
                <w:sz w:val="18"/>
                <w:szCs w:val="18"/>
              </w:rPr>
              <w:t>Título 22 Sistemas de Gestión.</w:t>
            </w:r>
          </w:p>
          <w:p w14:paraId="1E753D89" w14:textId="77777777" w:rsidR="00327289" w:rsidRDefault="006227DC">
            <w:pPr>
              <w:numPr>
                <w:ilvl w:val="0"/>
                <w:numId w:val="5"/>
              </w:numPr>
              <w:ind w:left="295" w:hanging="283"/>
              <w:jc w:val="both"/>
              <w:rPr>
                <w:rFonts w:ascii="Arial" w:eastAsia="Arial" w:hAnsi="Arial" w:cs="Arial"/>
                <w:sz w:val="18"/>
                <w:szCs w:val="18"/>
              </w:rPr>
            </w:pPr>
            <w:r>
              <w:rPr>
                <w:rFonts w:ascii="Arial" w:eastAsia="Arial" w:hAnsi="Arial" w:cs="Arial"/>
                <w:sz w:val="18"/>
                <w:szCs w:val="18"/>
              </w:rPr>
              <w:t>Capítulo 2: Políticas de Gestión y Desempeño Institucional.</w:t>
            </w:r>
          </w:p>
          <w:p w14:paraId="12C6818C" w14:textId="77777777" w:rsidR="00327289" w:rsidRDefault="006227DC">
            <w:pPr>
              <w:numPr>
                <w:ilvl w:val="0"/>
                <w:numId w:val="5"/>
              </w:numPr>
              <w:ind w:left="295" w:hanging="283"/>
              <w:jc w:val="both"/>
              <w:rPr>
                <w:rFonts w:ascii="Arial" w:eastAsia="Arial" w:hAnsi="Arial" w:cs="Arial"/>
                <w:sz w:val="18"/>
                <w:szCs w:val="18"/>
              </w:rPr>
            </w:pPr>
            <w:r>
              <w:rPr>
                <w:rFonts w:ascii="Arial" w:eastAsia="Arial" w:hAnsi="Arial" w:cs="Arial"/>
                <w:sz w:val="18"/>
                <w:szCs w:val="18"/>
              </w:rPr>
              <w:t>Artículo 2.2.22.2.1 Políticas de Gestión y Desempeño Institucional.</w:t>
            </w:r>
          </w:p>
          <w:p w14:paraId="646483FE" w14:textId="77777777" w:rsidR="00327289" w:rsidRDefault="006227DC">
            <w:pPr>
              <w:jc w:val="both"/>
              <w:rPr>
                <w:rFonts w:ascii="Arial" w:eastAsia="Arial" w:hAnsi="Arial" w:cs="Arial"/>
                <w:sz w:val="18"/>
                <w:szCs w:val="18"/>
              </w:rPr>
            </w:pPr>
            <w:r>
              <w:rPr>
                <w:rFonts w:ascii="Arial" w:eastAsia="Arial" w:hAnsi="Arial" w:cs="Arial"/>
                <w:sz w:val="18"/>
                <w:szCs w:val="18"/>
              </w:rPr>
              <w:t>Numeral 8. Participación Ciudadana en la Gestión Pública.</w:t>
            </w:r>
          </w:p>
        </w:tc>
      </w:tr>
      <w:tr w:rsidR="00327289" w14:paraId="6658E8D4" w14:textId="77777777" w:rsidTr="00CA01F2">
        <w:tc>
          <w:tcPr>
            <w:tcW w:w="1495" w:type="dxa"/>
            <w:tcBorders>
              <w:top w:val="single" w:sz="4" w:space="0" w:color="000000"/>
              <w:left w:val="single" w:sz="4" w:space="0" w:color="000000"/>
              <w:bottom w:val="single" w:sz="4" w:space="0" w:color="000000"/>
              <w:right w:val="single" w:sz="4" w:space="0" w:color="000000"/>
            </w:tcBorders>
            <w:vAlign w:val="center"/>
          </w:tcPr>
          <w:p w14:paraId="4FD9E81D" w14:textId="77777777" w:rsidR="00327289" w:rsidRDefault="006227DC">
            <w:pPr>
              <w:jc w:val="both"/>
              <w:rPr>
                <w:rFonts w:ascii="Arial" w:eastAsia="Arial" w:hAnsi="Arial" w:cs="Arial"/>
                <w:sz w:val="18"/>
                <w:szCs w:val="18"/>
              </w:rPr>
            </w:pPr>
            <w:r>
              <w:rPr>
                <w:rFonts w:ascii="Arial" w:eastAsia="Arial" w:hAnsi="Arial" w:cs="Arial"/>
                <w:sz w:val="18"/>
                <w:szCs w:val="18"/>
              </w:rPr>
              <w:t>Ley 1952 de 2019</w:t>
            </w:r>
          </w:p>
        </w:tc>
        <w:tc>
          <w:tcPr>
            <w:tcW w:w="2895" w:type="dxa"/>
            <w:tcBorders>
              <w:top w:val="single" w:sz="4" w:space="0" w:color="000000"/>
              <w:left w:val="single" w:sz="4" w:space="0" w:color="000000"/>
              <w:bottom w:val="single" w:sz="4" w:space="0" w:color="000000"/>
              <w:right w:val="single" w:sz="4" w:space="0" w:color="000000"/>
            </w:tcBorders>
            <w:vAlign w:val="center"/>
          </w:tcPr>
          <w:p w14:paraId="75AA707B" w14:textId="77777777" w:rsidR="00327289" w:rsidRDefault="006227DC">
            <w:pPr>
              <w:jc w:val="both"/>
              <w:rPr>
                <w:rFonts w:ascii="Arial" w:eastAsia="Arial" w:hAnsi="Arial" w:cs="Arial"/>
                <w:sz w:val="18"/>
                <w:szCs w:val="18"/>
              </w:rPr>
            </w:pPr>
            <w:r>
              <w:rPr>
                <w:rFonts w:ascii="Arial" w:eastAsia="Arial" w:hAnsi="Arial" w:cs="Arial"/>
                <w:sz w:val="18"/>
                <w:szCs w:val="18"/>
              </w:rPr>
              <w:t>Por medio de la cual se expide el código general disciplinario se derogan la ley 734 de 2002 y algunas disposiciones de la ley 1474 de 2011, relacionadas con el derecho disciplinario.</w:t>
            </w:r>
          </w:p>
        </w:tc>
        <w:tc>
          <w:tcPr>
            <w:tcW w:w="4814" w:type="dxa"/>
            <w:tcBorders>
              <w:top w:val="single" w:sz="4" w:space="0" w:color="000000"/>
              <w:left w:val="single" w:sz="4" w:space="0" w:color="000000"/>
              <w:bottom w:val="single" w:sz="4" w:space="0" w:color="000000"/>
              <w:right w:val="single" w:sz="4" w:space="0" w:color="000000"/>
            </w:tcBorders>
            <w:vAlign w:val="center"/>
          </w:tcPr>
          <w:p w14:paraId="26AA179F" w14:textId="77777777" w:rsidR="00327289" w:rsidRDefault="006227DC">
            <w:pPr>
              <w:tabs>
                <w:tab w:val="left" w:pos="242"/>
              </w:tabs>
              <w:ind w:left="103"/>
              <w:jc w:val="both"/>
              <w:rPr>
                <w:rFonts w:ascii="Arial" w:eastAsia="Arial" w:hAnsi="Arial" w:cs="Arial"/>
                <w:sz w:val="18"/>
                <w:szCs w:val="18"/>
              </w:rPr>
            </w:pPr>
            <w:r>
              <w:rPr>
                <w:rFonts w:ascii="Arial" w:eastAsia="Arial" w:hAnsi="Arial" w:cs="Arial"/>
                <w:sz w:val="18"/>
                <w:szCs w:val="18"/>
              </w:rPr>
              <w:t>Se establecen los deberes de los servidores públicos. En particular, respecto de la información se precisan las siguientes obligaciones: custodia, uso de los sistemas de información disponibles, publicación mensual de los informes que se generen sobre la gestión y respuesta a los requerimientos de los ciudadanos.</w:t>
            </w:r>
          </w:p>
        </w:tc>
      </w:tr>
      <w:tr w:rsidR="00327289" w14:paraId="3D2BE0B6" w14:textId="77777777">
        <w:tc>
          <w:tcPr>
            <w:tcW w:w="1495" w:type="dxa"/>
            <w:tcBorders>
              <w:top w:val="single" w:sz="4" w:space="0" w:color="000000"/>
              <w:left w:val="single" w:sz="4" w:space="0" w:color="000000"/>
              <w:bottom w:val="single" w:sz="4" w:space="0" w:color="000000"/>
              <w:right w:val="single" w:sz="4" w:space="0" w:color="000000"/>
            </w:tcBorders>
            <w:vAlign w:val="center"/>
          </w:tcPr>
          <w:p w14:paraId="7BE90473" w14:textId="77777777" w:rsidR="00327289" w:rsidRDefault="006227DC">
            <w:pPr>
              <w:jc w:val="both"/>
              <w:rPr>
                <w:rFonts w:ascii="Arial" w:eastAsia="Arial" w:hAnsi="Arial" w:cs="Arial"/>
                <w:sz w:val="18"/>
                <w:szCs w:val="18"/>
              </w:rPr>
            </w:pPr>
            <w:r>
              <w:rPr>
                <w:rFonts w:ascii="Arial" w:eastAsia="Arial" w:hAnsi="Arial" w:cs="Arial"/>
                <w:sz w:val="18"/>
                <w:szCs w:val="18"/>
              </w:rPr>
              <w:t xml:space="preserve">Manual </w:t>
            </w:r>
          </w:p>
        </w:tc>
        <w:tc>
          <w:tcPr>
            <w:tcW w:w="7709" w:type="dxa"/>
            <w:gridSpan w:val="2"/>
            <w:tcBorders>
              <w:top w:val="single" w:sz="4" w:space="0" w:color="000000"/>
              <w:left w:val="single" w:sz="4" w:space="0" w:color="000000"/>
              <w:bottom w:val="single" w:sz="4" w:space="0" w:color="000000"/>
              <w:right w:val="single" w:sz="4" w:space="0" w:color="000000"/>
            </w:tcBorders>
            <w:vAlign w:val="center"/>
          </w:tcPr>
          <w:p w14:paraId="355C9E26" w14:textId="77777777" w:rsidR="00327289" w:rsidRDefault="006227DC">
            <w:pPr>
              <w:tabs>
                <w:tab w:val="left" w:pos="242"/>
              </w:tabs>
              <w:jc w:val="both"/>
              <w:rPr>
                <w:rFonts w:ascii="Arial" w:eastAsia="Arial" w:hAnsi="Arial" w:cs="Arial"/>
                <w:sz w:val="18"/>
                <w:szCs w:val="18"/>
              </w:rPr>
            </w:pPr>
            <w:r>
              <w:rPr>
                <w:rFonts w:ascii="Arial" w:eastAsia="Arial" w:hAnsi="Arial" w:cs="Arial"/>
                <w:sz w:val="18"/>
                <w:szCs w:val="18"/>
              </w:rPr>
              <w:t xml:space="preserve">Manual Único de Rendición de cuentas del Departamento Administrativo de la Función Pública </w:t>
            </w:r>
          </w:p>
        </w:tc>
      </w:tr>
    </w:tbl>
    <w:p w14:paraId="36A37671" w14:textId="26661F3A" w:rsidR="00327289" w:rsidRDefault="006227DC" w:rsidP="00CA01F2">
      <w:pPr>
        <w:jc w:val="center"/>
        <w:rPr>
          <w:rFonts w:ascii="Arial" w:eastAsia="Arial" w:hAnsi="Arial" w:cs="Arial"/>
          <w:color w:val="000000"/>
          <w:sz w:val="22"/>
          <w:szCs w:val="22"/>
        </w:rPr>
      </w:pPr>
      <w:r>
        <w:br w:type="page"/>
      </w:r>
      <w:r w:rsidRPr="00CA01F2">
        <w:rPr>
          <w:b/>
          <w:bCs/>
          <w:sz w:val="22"/>
          <w:szCs w:val="22"/>
        </w:rPr>
        <w:lastRenderedPageBreak/>
        <w:t>CRONOGRAMA</w:t>
      </w:r>
    </w:p>
    <w:tbl>
      <w:tblPr>
        <w:tblW w:w="5000" w:type="pct"/>
        <w:tblCellMar>
          <w:left w:w="70" w:type="dxa"/>
          <w:right w:w="70" w:type="dxa"/>
        </w:tblCellMar>
        <w:tblLook w:val="04A0" w:firstRow="1" w:lastRow="0" w:firstColumn="1" w:lastColumn="0" w:noHBand="0" w:noVBand="1"/>
      </w:tblPr>
      <w:tblGrid>
        <w:gridCol w:w="376"/>
        <w:gridCol w:w="4722"/>
        <w:gridCol w:w="2342"/>
        <w:gridCol w:w="1618"/>
        <w:gridCol w:w="146"/>
      </w:tblGrid>
      <w:tr w:rsidR="001338DC" w:rsidRPr="001338DC" w14:paraId="186E017B" w14:textId="77777777" w:rsidTr="00CA01F2">
        <w:trPr>
          <w:gridAfter w:val="1"/>
          <w:wAfter w:w="79" w:type="pct"/>
          <w:trHeight w:val="230"/>
          <w:tblHeader/>
        </w:trPr>
        <w:tc>
          <w:tcPr>
            <w:tcW w:w="300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6BD66A" w14:textId="77777777" w:rsidR="001338DC" w:rsidRPr="001338DC" w:rsidRDefault="001338DC" w:rsidP="001338DC">
            <w:pPr>
              <w:overflowPunct/>
              <w:autoSpaceDE/>
              <w:autoSpaceDN/>
              <w:adjustRightInd/>
              <w:jc w:val="center"/>
              <w:rPr>
                <w:rFonts w:ascii="Arial" w:hAnsi="Arial" w:cs="Arial"/>
                <w:b/>
                <w:bCs/>
                <w:color w:val="000000"/>
                <w:lang w:val="es-CO"/>
              </w:rPr>
            </w:pPr>
            <w:r w:rsidRPr="001338DC">
              <w:rPr>
                <w:rFonts w:ascii="Arial" w:eastAsia="Arial" w:hAnsi="Arial" w:cs="Arial"/>
                <w:b/>
                <w:bCs/>
                <w:color w:val="000000"/>
              </w:rPr>
              <w:t>ACTIVIDAD</w:t>
            </w:r>
          </w:p>
        </w:tc>
        <w:tc>
          <w:tcPr>
            <w:tcW w:w="10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D8C67" w14:textId="77777777" w:rsidR="001338DC" w:rsidRPr="001338DC" w:rsidRDefault="001338DC" w:rsidP="001338DC">
            <w:pPr>
              <w:overflowPunct/>
              <w:autoSpaceDE/>
              <w:autoSpaceDN/>
              <w:adjustRightInd/>
              <w:jc w:val="center"/>
              <w:rPr>
                <w:rFonts w:ascii="Arial" w:hAnsi="Arial" w:cs="Arial"/>
                <w:b/>
                <w:bCs/>
                <w:color w:val="000000"/>
                <w:lang w:val="es-CO"/>
              </w:rPr>
            </w:pPr>
            <w:r w:rsidRPr="001338DC">
              <w:rPr>
                <w:rFonts w:ascii="Arial" w:eastAsia="Arial" w:hAnsi="Arial" w:cs="Arial"/>
                <w:b/>
                <w:bCs/>
                <w:color w:val="000000"/>
              </w:rPr>
              <w:t>REPONSABLE</w:t>
            </w:r>
          </w:p>
        </w:tc>
        <w:tc>
          <w:tcPr>
            <w:tcW w:w="8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9BB50A" w14:textId="77777777" w:rsidR="001338DC" w:rsidRDefault="001338DC" w:rsidP="001338DC">
            <w:pPr>
              <w:overflowPunct/>
              <w:autoSpaceDE/>
              <w:autoSpaceDN/>
              <w:adjustRightInd/>
              <w:jc w:val="center"/>
              <w:rPr>
                <w:rFonts w:ascii="Arial" w:eastAsia="Arial" w:hAnsi="Arial" w:cs="Arial"/>
                <w:b/>
                <w:bCs/>
                <w:color w:val="000000"/>
              </w:rPr>
            </w:pPr>
            <w:r w:rsidRPr="001338DC">
              <w:rPr>
                <w:rFonts w:ascii="Arial" w:eastAsia="Arial" w:hAnsi="Arial" w:cs="Arial"/>
                <w:b/>
                <w:bCs/>
                <w:color w:val="000000"/>
              </w:rPr>
              <w:t xml:space="preserve">FECHA </w:t>
            </w:r>
          </w:p>
          <w:p w14:paraId="5DD03AD6" w14:textId="6EBAC16F" w:rsidR="001338DC" w:rsidRPr="001338DC" w:rsidRDefault="001338DC" w:rsidP="001338DC">
            <w:pPr>
              <w:overflowPunct/>
              <w:autoSpaceDE/>
              <w:autoSpaceDN/>
              <w:adjustRightInd/>
              <w:jc w:val="center"/>
              <w:rPr>
                <w:rFonts w:ascii="Arial" w:hAnsi="Arial" w:cs="Arial"/>
                <w:b/>
                <w:bCs/>
                <w:color w:val="000000"/>
                <w:lang w:val="es-CO"/>
              </w:rPr>
            </w:pPr>
            <w:r w:rsidRPr="001338DC">
              <w:rPr>
                <w:rFonts w:ascii="Arial" w:eastAsia="Arial" w:hAnsi="Arial" w:cs="Arial"/>
                <w:b/>
                <w:bCs/>
                <w:color w:val="000000"/>
              </w:rPr>
              <w:t>PROGRAMADA</w:t>
            </w:r>
          </w:p>
        </w:tc>
      </w:tr>
      <w:tr w:rsidR="001338DC" w:rsidRPr="001338DC" w14:paraId="2674BB15" w14:textId="77777777" w:rsidTr="00CA01F2">
        <w:trPr>
          <w:trHeight w:val="20"/>
        </w:trPr>
        <w:tc>
          <w:tcPr>
            <w:tcW w:w="3001" w:type="pct"/>
            <w:gridSpan w:val="2"/>
            <w:vMerge/>
            <w:tcBorders>
              <w:top w:val="single" w:sz="4" w:space="0" w:color="auto"/>
              <w:left w:val="single" w:sz="4" w:space="0" w:color="auto"/>
              <w:bottom w:val="single" w:sz="4" w:space="0" w:color="auto"/>
              <w:right w:val="single" w:sz="4" w:space="0" w:color="auto"/>
            </w:tcBorders>
            <w:vAlign w:val="center"/>
            <w:hideMark/>
          </w:tcPr>
          <w:p w14:paraId="4F3B8813" w14:textId="77777777" w:rsidR="001338DC" w:rsidRPr="001338DC" w:rsidRDefault="001338DC" w:rsidP="001338DC">
            <w:pPr>
              <w:overflowPunct/>
              <w:autoSpaceDE/>
              <w:autoSpaceDN/>
              <w:adjustRightInd/>
              <w:rPr>
                <w:rFonts w:ascii="Arial" w:hAnsi="Arial" w:cs="Arial"/>
                <w:b/>
                <w:bCs/>
                <w:color w:val="000000"/>
                <w:lang w:val="es-CO"/>
              </w:rPr>
            </w:pP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39E02A2D" w14:textId="77777777" w:rsidR="001338DC" w:rsidRPr="001338DC" w:rsidRDefault="001338DC" w:rsidP="001338DC">
            <w:pPr>
              <w:overflowPunct/>
              <w:autoSpaceDE/>
              <w:autoSpaceDN/>
              <w:adjustRightInd/>
              <w:rPr>
                <w:rFonts w:ascii="Arial" w:hAnsi="Arial" w:cs="Arial"/>
                <w:b/>
                <w:bCs/>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67BEE20D" w14:textId="77777777" w:rsidR="001338DC" w:rsidRPr="001338DC" w:rsidRDefault="001338DC" w:rsidP="001338DC">
            <w:pPr>
              <w:overflowPunct/>
              <w:autoSpaceDE/>
              <w:autoSpaceDN/>
              <w:adjustRightInd/>
              <w:rPr>
                <w:rFonts w:ascii="Arial" w:hAnsi="Arial" w:cs="Arial"/>
                <w:b/>
                <w:bCs/>
                <w:color w:val="000000"/>
                <w:lang w:val="es-CO"/>
              </w:rPr>
            </w:pPr>
          </w:p>
        </w:tc>
        <w:tc>
          <w:tcPr>
            <w:tcW w:w="79" w:type="pct"/>
            <w:tcBorders>
              <w:top w:val="nil"/>
              <w:left w:val="single" w:sz="4" w:space="0" w:color="auto"/>
              <w:bottom w:val="nil"/>
              <w:right w:val="nil"/>
            </w:tcBorders>
            <w:shd w:val="clear" w:color="auto" w:fill="auto"/>
            <w:noWrap/>
            <w:vAlign w:val="bottom"/>
            <w:hideMark/>
          </w:tcPr>
          <w:p w14:paraId="20F30788" w14:textId="77777777" w:rsidR="001338DC" w:rsidRPr="001338DC" w:rsidRDefault="001338DC" w:rsidP="001338DC">
            <w:pPr>
              <w:overflowPunct/>
              <w:autoSpaceDE/>
              <w:autoSpaceDN/>
              <w:adjustRightInd/>
              <w:jc w:val="center"/>
              <w:rPr>
                <w:rFonts w:ascii="Arial" w:hAnsi="Arial" w:cs="Arial"/>
                <w:b/>
                <w:bCs/>
                <w:color w:val="000000"/>
                <w:lang w:val="es-CO"/>
              </w:rPr>
            </w:pPr>
          </w:p>
        </w:tc>
      </w:tr>
      <w:tr w:rsidR="00CA01F2" w:rsidRPr="001338DC" w14:paraId="5DF4BD75" w14:textId="77777777" w:rsidTr="00CA01F2">
        <w:trPr>
          <w:trHeight w:val="20"/>
        </w:trPr>
        <w:tc>
          <w:tcPr>
            <w:tcW w:w="208"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39E3D3" w14:textId="77777777" w:rsidR="001338DC" w:rsidRPr="001338DC" w:rsidRDefault="001338DC" w:rsidP="001338DC">
            <w:pPr>
              <w:overflowPunct/>
              <w:autoSpaceDE/>
              <w:autoSpaceDN/>
              <w:adjustRightInd/>
              <w:jc w:val="center"/>
              <w:rPr>
                <w:rFonts w:ascii="Arial" w:hAnsi="Arial" w:cs="Arial"/>
                <w:color w:val="000000"/>
                <w:lang w:val="es-CO"/>
              </w:rPr>
            </w:pPr>
            <w:r w:rsidRPr="001338DC">
              <w:rPr>
                <w:rFonts w:ascii="Arial" w:eastAsia="Arial" w:hAnsi="Arial" w:cs="Arial"/>
                <w:color w:val="000000"/>
              </w:rPr>
              <w:t>Aprestamiento</w:t>
            </w:r>
          </w:p>
        </w:tc>
        <w:tc>
          <w:tcPr>
            <w:tcW w:w="2793"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2E615A2" w14:textId="77777777" w:rsidR="001338DC" w:rsidRPr="001338DC" w:rsidRDefault="001338DC" w:rsidP="001338DC">
            <w:pPr>
              <w:overflowPunct/>
              <w:autoSpaceDE/>
              <w:autoSpaceDN/>
              <w:adjustRightInd/>
              <w:rPr>
                <w:rFonts w:ascii="Arial" w:hAnsi="Arial" w:cs="Arial"/>
                <w:color w:val="000000"/>
                <w:lang w:val="es-CO"/>
              </w:rPr>
            </w:pPr>
            <w:r w:rsidRPr="001338DC">
              <w:rPr>
                <w:rFonts w:ascii="Arial" w:hAnsi="Arial" w:cs="Arial"/>
                <w:color w:val="000000"/>
                <w:lang w:val="es-CO"/>
              </w:rPr>
              <w:t xml:space="preserve">Elaborar el autodiagnóstico del Manual de Rendición de Cuentas del DAFP </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5473E5" w14:textId="36AF472D" w:rsidR="001338DC" w:rsidRDefault="001338DC" w:rsidP="001338DC">
            <w:pPr>
              <w:overflowPunct/>
              <w:autoSpaceDE/>
              <w:autoSpaceDN/>
              <w:adjustRightInd/>
              <w:jc w:val="both"/>
              <w:rPr>
                <w:rFonts w:ascii="Arial" w:eastAsia="Arial" w:hAnsi="Arial" w:cs="Arial"/>
                <w:color w:val="000000"/>
              </w:rPr>
            </w:pPr>
            <w:r w:rsidRPr="001338DC">
              <w:rPr>
                <w:rFonts w:ascii="Arial" w:eastAsia="Arial" w:hAnsi="Arial" w:cs="Arial"/>
                <w:color w:val="000000"/>
              </w:rPr>
              <w:t>Oficina Asesora de Planeación</w:t>
            </w:r>
            <w:r w:rsidR="006F59FB">
              <w:rPr>
                <w:rFonts w:ascii="Arial" w:eastAsia="Arial" w:hAnsi="Arial" w:cs="Arial"/>
                <w:color w:val="000000"/>
              </w:rPr>
              <w:br/>
              <w:t>Subdirección Académica</w:t>
            </w:r>
          </w:p>
          <w:p w14:paraId="3FD8A49E" w14:textId="3E895A28" w:rsidR="00C37567" w:rsidRPr="001338DC" w:rsidRDefault="00C37567" w:rsidP="001338DC">
            <w:pPr>
              <w:overflowPunct/>
              <w:autoSpaceDE/>
              <w:autoSpaceDN/>
              <w:adjustRightInd/>
              <w:jc w:val="both"/>
              <w:rPr>
                <w:rFonts w:ascii="Arial" w:hAnsi="Arial" w:cs="Arial"/>
                <w:color w:val="000000"/>
                <w:lang w:val="es-CO"/>
              </w:rPr>
            </w:pP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302726"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Febrero a Abril</w:t>
            </w:r>
          </w:p>
        </w:tc>
        <w:tc>
          <w:tcPr>
            <w:tcW w:w="79" w:type="pct"/>
            <w:tcBorders>
              <w:left w:val="single" w:sz="4" w:space="0" w:color="auto"/>
            </w:tcBorders>
            <w:vAlign w:val="center"/>
            <w:hideMark/>
          </w:tcPr>
          <w:p w14:paraId="535AD045" w14:textId="77777777" w:rsidR="001338DC" w:rsidRPr="001338DC" w:rsidRDefault="001338DC" w:rsidP="001338DC">
            <w:pPr>
              <w:overflowPunct/>
              <w:autoSpaceDE/>
              <w:autoSpaceDN/>
              <w:adjustRightInd/>
              <w:rPr>
                <w:rFonts w:ascii="Arial" w:hAnsi="Arial" w:cs="Arial"/>
                <w:lang w:val="es-CO"/>
              </w:rPr>
            </w:pPr>
          </w:p>
        </w:tc>
      </w:tr>
      <w:tr w:rsidR="001338DC" w:rsidRPr="001338DC" w14:paraId="0CD0ABBB"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11151BE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C440F"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Realizar jornada de sensibilización del modelo de gestión implementado en el IDEP</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tcPr>
          <w:p w14:paraId="2A2BD6CE" w14:textId="12F96B06" w:rsidR="001338DC" w:rsidRPr="001338DC" w:rsidRDefault="00C37567"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Oficina Asesora de Planeación</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C7147"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Abril</w:t>
            </w:r>
          </w:p>
        </w:tc>
        <w:tc>
          <w:tcPr>
            <w:tcW w:w="79" w:type="pct"/>
            <w:tcBorders>
              <w:left w:val="single" w:sz="4" w:space="0" w:color="auto"/>
            </w:tcBorders>
            <w:vAlign w:val="center"/>
            <w:hideMark/>
          </w:tcPr>
          <w:p w14:paraId="19F2A5D5" w14:textId="77777777" w:rsidR="001338DC" w:rsidRPr="001338DC" w:rsidRDefault="001338DC" w:rsidP="001338DC">
            <w:pPr>
              <w:overflowPunct/>
              <w:autoSpaceDE/>
              <w:autoSpaceDN/>
              <w:adjustRightInd/>
              <w:rPr>
                <w:rFonts w:ascii="Arial" w:hAnsi="Arial" w:cs="Arial"/>
                <w:lang w:val="es-CO"/>
              </w:rPr>
            </w:pPr>
          </w:p>
        </w:tc>
      </w:tr>
      <w:tr w:rsidR="001338DC" w:rsidRPr="001338DC" w14:paraId="7C013E16"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3C58E61F"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10E27"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Realizar jornada de sensibilización con funcionarios y contratistas sobre la importancia de la rendición de cuentas y su participación para el desarrollo del proceso</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8AE4F"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Oficina Asesora de Planeación</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13D2C3"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Julio</w:t>
            </w:r>
          </w:p>
        </w:tc>
        <w:tc>
          <w:tcPr>
            <w:tcW w:w="79" w:type="pct"/>
            <w:tcBorders>
              <w:left w:val="single" w:sz="4" w:space="0" w:color="auto"/>
            </w:tcBorders>
            <w:vAlign w:val="center"/>
            <w:hideMark/>
          </w:tcPr>
          <w:p w14:paraId="7A892FF2" w14:textId="77777777" w:rsidR="001338DC" w:rsidRPr="001338DC" w:rsidRDefault="001338DC" w:rsidP="001338DC">
            <w:pPr>
              <w:overflowPunct/>
              <w:autoSpaceDE/>
              <w:autoSpaceDN/>
              <w:adjustRightInd/>
              <w:rPr>
                <w:rFonts w:ascii="Arial" w:hAnsi="Arial" w:cs="Arial"/>
                <w:lang w:val="es-CO"/>
              </w:rPr>
            </w:pPr>
          </w:p>
        </w:tc>
      </w:tr>
      <w:tr w:rsidR="001338DC" w:rsidRPr="001338DC" w14:paraId="43475103"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56B7D6D7"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B9D1E4"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Coordinar con el área de talento humano, jornadas de capacitación con los entes de control y entidades públicas que regulen y dicten las directrices frente a la normatividad aplicable a entidades distritales, con el ánimo de fortalecer la gestión y refleje resultados orientados al logro de los objetivos institucionales.</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6053A" w14:textId="55B43344" w:rsidR="001338DC" w:rsidRPr="001338DC" w:rsidRDefault="00C37567"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Oficina Asesora de Planeación</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33D09"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Segundo semestre</w:t>
            </w:r>
          </w:p>
        </w:tc>
        <w:tc>
          <w:tcPr>
            <w:tcW w:w="79" w:type="pct"/>
            <w:tcBorders>
              <w:left w:val="single" w:sz="4" w:space="0" w:color="auto"/>
            </w:tcBorders>
            <w:vAlign w:val="center"/>
            <w:hideMark/>
          </w:tcPr>
          <w:p w14:paraId="0F79809A" w14:textId="77777777" w:rsidR="001338DC" w:rsidRPr="001338DC" w:rsidRDefault="001338DC" w:rsidP="001338DC">
            <w:pPr>
              <w:overflowPunct/>
              <w:autoSpaceDE/>
              <w:autoSpaceDN/>
              <w:adjustRightInd/>
              <w:rPr>
                <w:rFonts w:ascii="Arial" w:hAnsi="Arial" w:cs="Arial"/>
                <w:lang w:val="es-CO"/>
              </w:rPr>
            </w:pPr>
          </w:p>
        </w:tc>
      </w:tr>
      <w:tr w:rsidR="00CA01F2" w:rsidRPr="001338DC" w14:paraId="5D4CD590" w14:textId="77777777" w:rsidTr="00CA01F2">
        <w:trPr>
          <w:trHeight w:val="1226"/>
        </w:trPr>
        <w:tc>
          <w:tcPr>
            <w:tcW w:w="20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1FBBB5B" w14:textId="77777777" w:rsidR="001338DC" w:rsidRPr="001338DC" w:rsidRDefault="001338DC" w:rsidP="001338DC">
            <w:pPr>
              <w:overflowPunct/>
              <w:autoSpaceDE/>
              <w:autoSpaceDN/>
              <w:adjustRightInd/>
              <w:jc w:val="center"/>
              <w:rPr>
                <w:rFonts w:ascii="Arial" w:hAnsi="Arial" w:cs="Arial"/>
                <w:color w:val="000000"/>
                <w:lang w:val="es-CO"/>
              </w:rPr>
            </w:pPr>
            <w:r w:rsidRPr="001338DC">
              <w:rPr>
                <w:rFonts w:ascii="Arial" w:hAnsi="Arial" w:cs="Arial"/>
                <w:color w:val="000000"/>
                <w:lang w:val="es-CO"/>
              </w:rPr>
              <w:t>Preparación</w:t>
            </w:r>
          </w:p>
        </w:tc>
        <w:tc>
          <w:tcPr>
            <w:tcW w:w="2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F4EAD" w14:textId="77777777" w:rsidR="001338DC" w:rsidRPr="001338DC" w:rsidRDefault="001338DC" w:rsidP="001338DC">
            <w:pPr>
              <w:overflowPunct/>
              <w:autoSpaceDE/>
              <w:autoSpaceDN/>
              <w:adjustRightInd/>
              <w:rPr>
                <w:rFonts w:ascii="Arial" w:hAnsi="Arial" w:cs="Arial"/>
                <w:color w:val="000000"/>
                <w:lang w:val="es-CO"/>
              </w:rPr>
            </w:pPr>
            <w:r w:rsidRPr="001338DC">
              <w:rPr>
                <w:rFonts w:ascii="Arial" w:hAnsi="Arial" w:cs="Arial"/>
                <w:color w:val="000000"/>
                <w:lang w:val="es-CO"/>
              </w:rPr>
              <w:t>Publicar en la página web de la entidad el informe público de rendición de cuentas de la vigencia del 2020, para que la ciudadanía tenga conocimiento</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A1AA9" w14:textId="674A7C2A" w:rsidR="00C37567" w:rsidRPr="001338DC" w:rsidRDefault="001338DC" w:rsidP="00C37567">
            <w:pPr>
              <w:overflowPunct/>
              <w:autoSpaceDE/>
              <w:autoSpaceDN/>
              <w:adjustRightInd/>
              <w:rPr>
                <w:rFonts w:ascii="Arial" w:hAnsi="Arial" w:cs="Arial"/>
                <w:color w:val="000000"/>
                <w:lang w:val="es-CO"/>
              </w:rPr>
            </w:pPr>
            <w:r w:rsidRPr="001338DC">
              <w:rPr>
                <w:rFonts w:ascii="Arial" w:hAnsi="Arial" w:cs="Arial"/>
                <w:color w:val="000000"/>
                <w:lang w:val="es-CO"/>
              </w:rPr>
              <w:t>Oficina Asesora de Planeació</w:t>
            </w:r>
            <w:r w:rsidR="00FA59C0">
              <w:rPr>
                <w:rFonts w:ascii="Arial" w:hAnsi="Arial" w:cs="Arial"/>
                <w:color w:val="000000"/>
                <w:lang w:val="es-CO"/>
              </w:rPr>
              <w:t>n</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2DC11A"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Febrero a Mayo</w:t>
            </w:r>
          </w:p>
        </w:tc>
        <w:tc>
          <w:tcPr>
            <w:tcW w:w="79" w:type="pct"/>
            <w:tcBorders>
              <w:left w:val="single" w:sz="4" w:space="0" w:color="auto"/>
            </w:tcBorders>
            <w:vAlign w:val="center"/>
            <w:hideMark/>
          </w:tcPr>
          <w:p w14:paraId="2955D804" w14:textId="77777777" w:rsidR="001338DC" w:rsidRPr="001338DC" w:rsidRDefault="001338DC" w:rsidP="001338DC">
            <w:pPr>
              <w:overflowPunct/>
              <w:autoSpaceDE/>
              <w:autoSpaceDN/>
              <w:adjustRightInd/>
              <w:rPr>
                <w:rFonts w:ascii="Arial" w:hAnsi="Arial" w:cs="Arial"/>
                <w:lang w:val="es-CO"/>
              </w:rPr>
            </w:pPr>
          </w:p>
        </w:tc>
      </w:tr>
      <w:tr w:rsidR="00CA01F2" w:rsidRPr="001338DC" w14:paraId="3887F96E" w14:textId="77777777" w:rsidTr="00CA01F2">
        <w:trPr>
          <w:trHeight w:val="20"/>
        </w:trPr>
        <w:tc>
          <w:tcPr>
            <w:tcW w:w="208"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A9D36C" w14:textId="77777777" w:rsidR="001338DC" w:rsidRPr="001338DC" w:rsidRDefault="001338DC" w:rsidP="001338DC">
            <w:pPr>
              <w:overflowPunct/>
              <w:autoSpaceDE/>
              <w:autoSpaceDN/>
              <w:adjustRightInd/>
              <w:jc w:val="center"/>
              <w:rPr>
                <w:rFonts w:ascii="Arial" w:hAnsi="Arial" w:cs="Arial"/>
                <w:color w:val="000000"/>
                <w:lang w:val="es-CO"/>
              </w:rPr>
            </w:pPr>
            <w:r w:rsidRPr="001338DC">
              <w:rPr>
                <w:rFonts w:ascii="Arial" w:eastAsia="Arial" w:hAnsi="Arial" w:cs="Arial"/>
                <w:color w:val="000000"/>
              </w:rPr>
              <w:t>Ejecución</w:t>
            </w:r>
          </w:p>
        </w:tc>
        <w:tc>
          <w:tcPr>
            <w:tcW w:w="2793" w:type="pct"/>
            <w:tcBorders>
              <w:top w:val="single" w:sz="4" w:space="0" w:color="auto"/>
              <w:left w:val="single" w:sz="4" w:space="0" w:color="auto"/>
              <w:right w:val="single" w:sz="4" w:space="0" w:color="auto"/>
            </w:tcBorders>
            <w:shd w:val="clear" w:color="000000" w:fill="FFFFFF"/>
            <w:vAlign w:val="center"/>
            <w:hideMark/>
          </w:tcPr>
          <w:p w14:paraId="7920B577" w14:textId="0668374A"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 xml:space="preserve">Publicar oportunamente en la página web de la entidad y </w:t>
            </w:r>
            <w:r w:rsidR="00CA01F2" w:rsidRPr="001338DC">
              <w:rPr>
                <w:rFonts w:ascii="Arial" w:eastAsia="Arial" w:hAnsi="Arial" w:cs="Arial"/>
                <w:color w:val="000000"/>
              </w:rPr>
              <w:t>de acuerdo con</w:t>
            </w:r>
            <w:r w:rsidRPr="001338DC">
              <w:rPr>
                <w:rFonts w:ascii="Arial" w:eastAsia="Arial" w:hAnsi="Arial" w:cs="Arial"/>
                <w:color w:val="000000"/>
              </w:rPr>
              <w:t xml:space="preserve"> la normatividad y periodicidad establecida los siguientes informes:</w:t>
            </w:r>
          </w:p>
        </w:tc>
        <w:tc>
          <w:tcPr>
            <w:tcW w:w="10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EC5DEA" w14:textId="77777777" w:rsidR="00E768A3" w:rsidRPr="00E768A3" w:rsidRDefault="00E768A3" w:rsidP="00E768A3">
            <w:pPr>
              <w:overflowPunct/>
              <w:autoSpaceDE/>
              <w:autoSpaceDN/>
              <w:adjustRightInd/>
              <w:jc w:val="center"/>
              <w:rPr>
                <w:rFonts w:ascii="Arial" w:eastAsia="Arial" w:hAnsi="Arial" w:cs="Arial"/>
                <w:color w:val="000000"/>
              </w:rPr>
            </w:pPr>
            <w:r w:rsidRPr="00E768A3">
              <w:rPr>
                <w:rFonts w:ascii="Arial" w:eastAsia="Arial" w:hAnsi="Arial" w:cs="Arial"/>
                <w:color w:val="000000"/>
              </w:rPr>
              <w:t xml:space="preserve">* Todas las áreas remiten la información a la Oficina Asesora de Planeación </w:t>
            </w:r>
          </w:p>
          <w:p w14:paraId="72DBD496" w14:textId="77777777" w:rsidR="00E768A3" w:rsidRPr="00E768A3" w:rsidRDefault="00E768A3" w:rsidP="00E768A3">
            <w:pPr>
              <w:overflowPunct/>
              <w:autoSpaceDE/>
              <w:autoSpaceDN/>
              <w:adjustRightInd/>
              <w:jc w:val="center"/>
              <w:rPr>
                <w:rFonts w:ascii="Arial" w:eastAsia="Arial" w:hAnsi="Arial" w:cs="Arial"/>
                <w:color w:val="000000"/>
              </w:rPr>
            </w:pPr>
            <w:r w:rsidRPr="00E768A3">
              <w:rPr>
                <w:rFonts w:ascii="Arial" w:eastAsia="Arial" w:hAnsi="Arial" w:cs="Arial"/>
                <w:color w:val="000000"/>
              </w:rPr>
              <w:t xml:space="preserve"> * Consolida y publica Oficina Asesora de Planeación </w:t>
            </w:r>
          </w:p>
          <w:p w14:paraId="767784FC" w14:textId="77777777" w:rsidR="00E768A3" w:rsidRPr="00E768A3" w:rsidRDefault="00E768A3" w:rsidP="00E768A3">
            <w:pPr>
              <w:overflowPunct/>
              <w:autoSpaceDE/>
              <w:autoSpaceDN/>
              <w:adjustRightInd/>
              <w:jc w:val="center"/>
              <w:rPr>
                <w:rFonts w:ascii="Arial" w:eastAsia="Arial" w:hAnsi="Arial" w:cs="Arial"/>
                <w:color w:val="000000"/>
              </w:rPr>
            </w:pPr>
            <w:r w:rsidRPr="00E768A3">
              <w:rPr>
                <w:rFonts w:ascii="Arial" w:eastAsia="Arial" w:hAnsi="Arial" w:cs="Arial"/>
                <w:color w:val="000000"/>
              </w:rPr>
              <w:t xml:space="preserve"> *Subdirección Administrativa, Financiera y de Control Disciplinario pública ejecución presupuestal</w:t>
            </w:r>
          </w:p>
          <w:p w14:paraId="76DE9142" w14:textId="6235B98C" w:rsidR="001338DC" w:rsidRPr="001338DC" w:rsidRDefault="00E768A3" w:rsidP="00E768A3">
            <w:pPr>
              <w:overflowPunct/>
              <w:autoSpaceDE/>
              <w:autoSpaceDN/>
              <w:adjustRightInd/>
              <w:jc w:val="center"/>
              <w:rPr>
                <w:rFonts w:ascii="Arial" w:hAnsi="Arial" w:cs="Arial"/>
                <w:color w:val="000000"/>
                <w:lang w:val="es-CO"/>
              </w:rPr>
            </w:pPr>
            <w:r w:rsidRPr="00E768A3">
              <w:rPr>
                <w:rFonts w:ascii="Arial" w:eastAsia="Arial" w:hAnsi="Arial" w:cs="Arial"/>
                <w:color w:val="000000"/>
              </w:rPr>
              <w:t xml:space="preserve"> *Subdirección Académica realiza la promoción de los informes de gestión</w:t>
            </w:r>
          </w:p>
        </w:tc>
        <w:tc>
          <w:tcPr>
            <w:tcW w:w="8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779B12" w14:textId="77777777" w:rsidR="001338DC" w:rsidRPr="001338DC" w:rsidRDefault="001338DC" w:rsidP="001338DC">
            <w:pPr>
              <w:overflowPunct/>
              <w:autoSpaceDE/>
              <w:autoSpaceDN/>
              <w:adjustRightInd/>
              <w:jc w:val="center"/>
              <w:rPr>
                <w:rFonts w:ascii="Arial" w:hAnsi="Arial" w:cs="Arial"/>
                <w:color w:val="000000"/>
                <w:lang w:val="es-CO"/>
              </w:rPr>
            </w:pPr>
            <w:r w:rsidRPr="001338DC">
              <w:rPr>
                <w:rFonts w:ascii="Arial" w:hAnsi="Arial" w:cs="Arial"/>
                <w:color w:val="000000"/>
                <w:lang w:val="es-CO"/>
              </w:rPr>
              <w:t>Enero</w:t>
            </w:r>
            <w:r w:rsidRPr="001338DC">
              <w:rPr>
                <w:rFonts w:ascii="Arial" w:hAnsi="Arial" w:cs="Arial"/>
                <w:color w:val="000000"/>
                <w:lang w:val="es-CO"/>
              </w:rPr>
              <w:br/>
              <w:t>Seguimientos trimestrales durante la vigencia según corresponda</w:t>
            </w:r>
          </w:p>
        </w:tc>
        <w:tc>
          <w:tcPr>
            <w:tcW w:w="79" w:type="pct"/>
            <w:tcBorders>
              <w:left w:val="single" w:sz="4" w:space="0" w:color="auto"/>
            </w:tcBorders>
            <w:vAlign w:val="center"/>
            <w:hideMark/>
          </w:tcPr>
          <w:p w14:paraId="2E84D263" w14:textId="77777777" w:rsidR="001338DC" w:rsidRPr="001338DC" w:rsidRDefault="001338DC" w:rsidP="001338DC">
            <w:pPr>
              <w:overflowPunct/>
              <w:autoSpaceDE/>
              <w:autoSpaceDN/>
              <w:adjustRightInd/>
              <w:rPr>
                <w:rFonts w:ascii="Arial" w:hAnsi="Arial" w:cs="Arial"/>
                <w:lang w:val="es-CO"/>
              </w:rPr>
            </w:pPr>
          </w:p>
        </w:tc>
      </w:tr>
      <w:tr w:rsidR="00CA01F2" w:rsidRPr="001338DC" w14:paraId="34B00C97"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5378C627"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5B56B429"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Institucional de Archivos -PINAR</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284A7B9D"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4C74ED08"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3CB6322F" w14:textId="77777777" w:rsidR="001338DC" w:rsidRPr="001338DC" w:rsidRDefault="001338DC" w:rsidP="001338DC">
            <w:pPr>
              <w:overflowPunct/>
              <w:autoSpaceDE/>
              <w:autoSpaceDN/>
              <w:adjustRightInd/>
              <w:rPr>
                <w:rFonts w:ascii="Arial" w:hAnsi="Arial" w:cs="Arial"/>
                <w:lang w:val="es-CO"/>
              </w:rPr>
            </w:pPr>
          </w:p>
        </w:tc>
      </w:tr>
      <w:tr w:rsidR="00CA01F2" w:rsidRPr="001338DC" w14:paraId="2D315863"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60DFDCB0"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072231FE"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anual de adquisiciones</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45E49FE2"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6ED68D4C"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37F7818A" w14:textId="77777777" w:rsidR="001338DC" w:rsidRPr="001338DC" w:rsidRDefault="001338DC" w:rsidP="001338DC">
            <w:pPr>
              <w:overflowPunct/>
              <w:autoSpaceDE/>
              <w:autoSpaceDN/>
              <w:adjustRightInd/>
              <w:rPr>
                <w:rFonts w:ascii="Arial" w:hAnsi="Arial" w:cs="Arial"/>
                <w:lang w:val="es-CO"/>
              </w:rPr>
            </w:pPr>
          </w:p>
        </w:tc>
      </w:tr>
      <w:tr w:rsidR="00CA01F2" w:rsidRPr="001338DC" w14:paraId="536F1AC3"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59188BDB"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1DBA2BC0"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Anual de Vacantes</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0A2D1A67"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7F5A96FD"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515F633E" w14:textId="77777777" w:rsidR="001338DC" w:rsidRPr="001338DC" w:rsidRDefault="001338DC" w:rsidP="001338DC">
            <w:pPr>
              <w:overflowPunct/>
              <w:autoSpaceDE/>
              <w:autoSpaceDN/>
              <w:adjustRightInd/>
              <w:rPr>
                <w:rFonts w:ascii="Arial" w:hAnsi="Arial" w:cs="Arial"/>
                <w:lang w:val="es-CO"/>
              </w:rPr>
            </w:pPr>
          </w:p>
        </w:tc>
      </w:tr>
      <w:tr w:rsidR="00CA01F2" w:rsidRPr="001338DC" w14:paraId="12934318"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6862917D"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287462C5"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de Previsión de Recursos Humanos</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13FDEACC"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0F2555AD"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26547EDA" w14:textId="77777777" w:rsidR="001338DC" w:rsidRPr="001338DC" w:rsidRDefault="001338DC" w:rsidP="001338DC">
            <w:pPr>
              <w:overflowPunct/>
              <w:autoSpaceDE/>
              <w:autoSpaceDN/>
              <w:adjustRightInd/>
              <w:rPr>
                <w:rFonts w:ascii="Arial" w:hAnsi="Arial" w:cs="Arial"/>
                <w:lang w:val="es-CO"/>
              </w:rPr>
            </w:pPr>
          </w:p>
        </w:tc>
      </w:tr>
      <w:tr w:rsidR="00CA01F2" w:rsidRPr="001338DC" w14:paraId="5A421BC0"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3681B7A7"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296F4388"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Estratégico de Talento Humano</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2C7E8549"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0CCC02EF"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09995442" w14:textId="77777777" w:rsidR="001338DC" w:rsidRPr="001338DC" w:rsidRDefault="001338DC" w:rsidP="001338DC">
            <w:pPr>
              <w:overflowPunct/>
              <w:autoSpaceDE/>
              <w:autoSpaceDN/>
              <w:adjustRightInd/>
              <w:rPr>
                <w:rFonts w:ascii="Arial" w:hAnsi="Arial" w:cs="Arial"/>
                <w:lang w:val="es-CO"/>
              </w:rPr>
            </w:pPr>
          </w:p>
        </w:tc>
      </w:tr>
      <w:tr w:rsidR="00CA01F2" w:rsidRPr="001338DC" w14:paraId="522CF731"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352F824C"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7AA66683"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Institucional de Capacitación</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5CB7A5AD"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0C5BC1E1"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37299B06" w14:textId="77777777" w:rsidR="001338DC" w:rsidRPr="001338DC" w:rsidRDefault="001338DC" w:rsidP="001338DC">
            <w:pPr>
              <w:overflowPunct/>
              <w:autoSpaceDE/>
              <w:autoSpaceDN/>
              <w:adjustRightInd/>
              <w:rPr>
                <w:rFonts w:ascii="Arial" w:hAnsi="Arial" w:cs="Arial"/>
                <w:lang w:val="es-CO"/>
              </w:rPr>
            </w:pPr>
          </w:p>
        </w:tc>
      </w:tr>
      <w:tr w:rsidR="00CA01F2" w:rsidRPr="001338DC" w14:paraId="10CCB28D"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2213ED9E"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718F7F91"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de Incentivos Institucionales</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291DCE38"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777D0D96"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137F2C21" w14:textId="77777777" w:rsidR="001338DC" w:rsidRPr="001338DC" w:rsidRDefault="001338DC" w:rsidP="001338DC">
            <w:pPr>
              <w:overflowPunct/>
              <w:autoSpaceDE/>
              <w:autoSpaceDN/>
              <w:adjustRightInd/>
              <w:rPr>
                <w:rFonts w:ascii="Arial" w:hAnsi="Arial" w:cs="Arial"/>
                <w:lang w:val="es-CO"/>
              </w:rPr>
            </w:pPr>
          </w:p>
        </w:tc>
      </w:tr>
      <w:tr w:rsidR="00CA01F2" w:rsidRPr="001338DC" w14:paraId="684DA015"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17EA866B"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1B337D62"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de Trabajo Anual en Seguridad y Salud en el Trabajo</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215DC928"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25FAD1FC"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22566AD8" w14:textId="77777777" w:rsidR="001338DC" w:rsidRPr="001338DC" w:rsidRDefault="001338DC" w:rsidP="001338DC">
            <w:pPr>
              <w:overflowPunct/>
              <w:autoSpaceDE/>
              <w:autoSpaceDN/>
              <w:adjustRightInd/>
              <w:rPr>
                <w:rFonts w:ascii="Arial" w:hAnsi="Arial" w:cs="Arial"/>
                <w:lang w:val="es-CO"/>
              </w:rPr>
            </w:pPr>
          </w:p>
        </w:tc>
      </w:tr>
      <w:tr w:rsidR="00CA01F2" w:rsidRPr="001338DC" w14:paraId="7B76B3E6"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050327A4"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6514622B"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Anticorrupción y de Atención al Ciudadano</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5A06F02C"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5738BF0B"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3705FAE3" w14:textId="77777777" w:rsidR="001338DC" w:rsidRPr="001338DC" w:rsidRDefault="001338DC" w:rsidP="001338DC">
            <w:pPr>
              <w:overflowPunct/>
              <w:autoSpaceDE/>
              <w:autoSpaceDN/>
              <w:adjustRightInd/>
              <w:rPr>
                <w:rFonts w:ascii="Arial" w:hAnsi="Arial" w:cs="Arial"/>
                <w:lang w:val="es-CO"/>
              </w:rPr>
            </w:pPr>
          </w:p>
        </w:tc>
      </w:tr>
      <w:tr w:rsidR="00CA01F2" w:rsidRPr="001338DC" w14:paraId="0B555605"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13E06BCE"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23946B05"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Estratégico de Tecnologías de la Información y las Comunicaciones – PETI</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0FDA669A"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489ED5DF"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107FA122" w14:textId="77777777" w:rsidR="001338DC" w:rsidRPr="001338DC" w:rsidRDefault="001338DC" w:rsidP="001338DC">
            <w:pPr>
              <w:overflowPunct/>
              <w:autoSpaceDE/>
              <w:autoSpaceDN/>
              <w:adjustRightInd/>
              <w:rPr>
                <w:rFonts w:ascii="Arial" w:hAnsi="Arial" w:cs="Arial"/>
                <w:lang w:val="es-CO"/>
              </w:rPr>
            </w:pPr>
          </w:p>
        </w:tc>
      </w:tr>
      <w:tr w:rsidR="00CA01F2" w:rsidRPr="001338DC" w14:paraId="76BE6000"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63D1A7ED"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7D240C15"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de Tratamiento de Riesgos de Seguridad y Privacidad de la Información</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6AF06B6D"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245620B9"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173210E2" w14:textId="77777777" w:rsidR="001338DC" w:rsidRPr="001338DC" w:rsidRDefault="001338DC" w:rsidP="001338DC">
            <w:pPr>
              <w:overflowPunct/>
              <w:autoSpaceDE/>
              <w:autoSpaceDN/>
              <w:adjustRightInd/>
              <w:rPr>
                <w:rFonts w:ascii="Arial" w:hAnsi="Arial" w:cs="Arial"/>
                <w:lang w:val="es-CO"/>
              </w:rPr>
            </w:pPr>
          </w:p>
        </w:tc>
      </w:tr>
      <w:tr w:rsidR="00CA01F2" w:rsidRPr="001338DC" w14:paraId="6B992D18"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0075DF2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44FEBE73"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de Seguridad y Privacidad de la Información</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7BDD0F1A"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6A994F21"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167D9A67" w14:textId="77777777" w:rsidR="001338DC" w:rsidRPr="001338DC" w:rsidRDefault="001338DC" w:rsidP="001338DC">
            <w:pPr>
              <w:overflowPunct/>
              <w:autoSpaceDE/>
              <w:autoSpaceDN/>
              <w:adjustRightInd/>
              <w:rPr>
                <w:rFonts w:ascii="Arial" w:hAnsi="Arial" w:cs="Arial"/>
                <w:lang w:val="es-CO"/>
              </w:rPr>
            </w:pPr>
          </w:p>
        </w:tc>
      </w:tr>
      <w:tr w:rsidR="00CA01F2" w:rsidRPr="001338DC" w14:paraId="3AD4BC12"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6E63DD17"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0825A070"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Informes de Control Interno</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26889D84"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620F869A"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08AB9DE3" w14:textId="77777777" w:rsidR="001338DC" w:rsidRPr="001338DC" w:rsidRDefault="001338DC" w:rsidP="001338DC">
            <w:pPr>
              <w:overflowPunct/>
              <w:autoSpaceDE/>
              <w:autoSpaceDN/>
              <w:adjustRightInd/>
              <w:rPr>
                <w:rFonts w:ascii="Arial" w:hAnsi="Arial" w:cs="Arial"/>
                <w:lang w:val="es-CO"/>
              </w:rPr>
            </w:pPr>
          </w:p>
        </w:tc>
      </w:tr>
      <w:tr w:rsidR="00CA01F2" w:rsidRPr="001338DC" w14:paraId="504DE5BE"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0E3FD7A2"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42401434"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Operativo Anual</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2F53EB21"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41701B78"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04DA9334" w14:textId="77777777" w:rsidR="001338DC" w:rsidRPr="001338DC" w:rsidRDefault="001338DC" w:rsidP="001338DC">
            <w:pPr>
              <w:overflowPunct/>
              <w:autoSpaceDE/>
              <w:autoSpaceDN/>
              <w:adjustRightInd/>
              <w:rPr>
                <w:rFonts w:ascii="Arial" w:hAnsi="Arial" w:cs="Arial"/>
                <w:lang w:val="es-CO"/>
              </w:rPr>
            </w:pPr>
          </w:p>
        </w:tc>
      </w:tr>
      <w:tr w:rsidR="00CA01F2" w:rsidRPr="001338DC" w14:paraId="47088F33"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5773782C"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03D61B23"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Matrices de seguimiento a Metas del Plan de Desarrollo Distrital PDD</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47DBB773"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53199749"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17CDA390" w14:textId="77777777" w:rsidR="001338DC" w:rsidRPr="001338DC" w:rsidRDefault="001338DC" w:rsidP="001338DC">
            <w:pPr>
              <w:overflowPunct/>
              <w:autoSpaceDE/>
              <w:autoSpaceDN/>
              <w:adjustRightInd/>
              <w:rPr>
                <w:rFonts w:ascii="Arial" w:hAnsi="Arial" w:cs="Arial"/>
                <w:lang w:val="es-CO"/>
              </w:rPr>
            </w:pPr>
          </w:p>
        </w:tc>
      </w:tr>
      <w:tr w:rsidR="00CA01F2" w:rsidRPr="001338DC" w14:paraId="245DEBCD"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2E6A60BC"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bottom w:val="single" w:sz="4" w:space="0" w:color="auto"/>
              <w:right w:val="single" w:sz="4" w:space="0" w:color="auto"/>
            </w:tcBorders>
            <w:shd w:val="clear" w:color="000000" w:fill="FFFFFF"/>
            <w:vAlign w:val="center"/>
            <w:hideMark/>
          </w:tcPr>
          <w:p w14:paraId="420DD188"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de participación ciudadana</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272C21F4"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631F556C"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441CEA86" w14:textId="77777777" w:rsidR="001338DC" w:rsidRPr="001338DC" w:rsidRDefault="001338DC" w:rsidP="001338DC">
            <w:pPr>
              <w:overflowPunct/>
              <w:autoSpaceDE/>
              <w:autoSpaceDN/>
              <w:adjustRightInd/>
              <w:rPr>
                <w:rFonts w:ascii="Arial" w:hAnsi="Arial" w:cs="Arial"/>
                <w:lang w:val="es-CO"/>
              </w:rPr>
            </w:pPr>
          </w:p>
        </w:tc>
      </w:tr>
      <w:tr w:rsidR="00CA01F2" w:rsidRPr="001338DC" w14:paraId="33694B81"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422BD823"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right w:val="single" w:sz="4" w:space="0" w:color="auto"/>
            </w:tcBorders>
            <w:shd w:val="clear" w:color="000000" w:fill="FFFFFF"/>
            <w:vAlign w:val="center"/>
            <w:hideMark/>
          </w:tcPr>
          <w:p w14:paraId="270F8731"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Informe de gestión y de ejecución presupuestal</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19C2196D"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46562E08"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7330D506" w14:textId="77777777" w:rsidR="001338DC" w:rsidRPr="001338DC" w:rsidRDefault="001338DC" w:rsidP="001338DC">
            <w:pPr>
              <w:overflowPunct/>
              <w:autoSpaceDE/>
              <w:autoSpaceDN/>
              <w:adjustRightInd/>
              <w:rPr>
                <w:rFonts w:ascii="Arial" w:hAnsi="Arial" w:cs="Arial"/>
                <w:lang w:val="es-CO"/>
              </w:rPr>
            </w:pPr>
          </w:p>
        </w:tc>
      </w:tr>
      <w:tr w:rsidR="00CA01F2" w:rsidRPr="001338DC" w14:paraId="6B466F1F"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6982654F"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bottom w:val="single" w:sz="4" w:space="0" w:color="auto"/>
              <w:right w:val="single" w:sz="4" w:space="0" w:color="auto"/>
            </w:tcBorders>
            <w:shd w:val="clear" w:color="000000" w:fill="FFFFFF"/>
            <w:vAlign w:val="center"/>
            <w:hideMark/>
          </w:tcPr>
          <w:p w14:paraId="4A75728C"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Plan estratégico de desarrollo institucional</w:t>
            </w: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16B83F73" w14:textId="77777777" w:rsidR="001338DC" w:rsidRPr="001338DC" w:rsidRDefault="001338DC" w:rsidP="001338DC">
            <w:pPr>
              <w:overflowPunct/>
              <w:autoSpaceDE/>
              <w:autoSpaceDN/>
              <w:adjustRightInd/>
              <w:rPr>
                <w:rFonts w:ascii="Arial" w:hAnsi="Arial" w:cs="Arial"/>
                <w:color w:val="000000"/>
                <w:lang w:val="es-CO"/>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3566E968" w14:textId="77777777" w:rsidR="001338DC" w:rsidRPr="001338DC" w:rsidRDefault="001338DC" w:rsidP="001338DC">
            <w:pPr>
              <w:overflowPunct/>
              <w:autoSpaceDE/>
              <w:autoSpaceDN/>
              <w:adjustRightInd/>
              <w:rPr>
                <w:rFonts w:ascii="Arial" w:hAnsi="Arial" w:cs="Arial"/>
                <w:color w:val="000000"/>
                <w:lang w:val="es-CO"/>
              </w:rPr>
            </w:pPr>
          </w:p>
        </w:tc>
        <w:tc>
          <w:tcPr>
            <w:tcW w:w="79" w:type="pct"/>
            <w:tcBorders>
              <w:left w:val="single" w:sz="4" w:space="0" w:color="auto"/>
            </w:tcBorders>
            <w:vAlign w:val="center"/>
            <w:hideMark/>
          </w:tcPr>
          <w:p w14:paraId="48151153" w14:textId="77777777" w:rsidR="001338DC" w:rsidRPr="001338DC" w:rsidRDefault="001338DC" w:rsidP="001338DC">
            <w:pPr>
              <w:overflowPunct/>
              <w:autoSpaceDE/>
              <w:autoSpaceDN/>
              <w:adjustRightInd/>
              <w:rPr>
                <w:rFonts w:ascii="Arial" w:hAnsi="Arial" w:cs="Arial"/>
                <w:lang w:val="es-CO"/>
              </w:rPr>
            </w:pPr>
          </w:p>
        </w:tc>
      </w:tr>
      <w:tr w:rsidR="00CA01F2" w:rsidRPr="001338DC" w14:paraId="2B770E5A"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0821ED87"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A211DD"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Audiencia Pública de Rendición de Cuentas – vigencia 2021</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93F925"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Todas las áreas del IDEP</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C9BA35"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Marzo</w:t>
            </w:r>
          </w:p>
        </w:tc>
        <w:tc>
          <w:tcPr>
            <w:tcW w:w="79" w:type="pct"/>
            <w:tcBorders>
              <w:left w:val="single" w:sz="4" w:space="0" w:color="auto"/>
            </w:tcBorders>
            <w:vAlign w:val="center"/>
            <w:hideMark/>
          </w:tcPr>
          <w:p w14:paraId="1CF9852F" w14:textId="77777777" w:rsidR="001338DC" w:rsidRPr="001338DC" w:rsidRDefault="001338DC" w:rsidP="001338DC">
            <w:pPr>
              <w:overflowPunct/>
              <w:autoSpaceDE/>
              <w:autoSpaceDN/>
              <w:adjustRightInd/>
              <w:rPr>
                <w:rFonts w:ascii="Arial" w:hAnsi="Arial" w:cs="Arial"/>
                <w:lang w:val="es-CO"/>
              </w:rPr>
            </w:pPr>
          </w:p>
        </w:tc>
      </w:tr>
      <w:tr w:rsidR="001338DC" w:rsidRPr="001338DC" w14:paraId="660DFA6A"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116E67F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73D54" w14:textId="77777777" w:rsidR="001338DC" w:rsidRPr="001338DC" w:rsidRDefault="001338DC" w:rsidP="001338DC">
            <w:pPr>
              <w:overflowPunct/>
              <w:autoSpaceDE/>
              <w:autoSpaceDN/>
              <w:adjustRightInd/>
              <w:rPr>
                <w:rFonts w:ascii="Arial" w:hAnsi="Arial" w:cs="Arial"/>
                <w:color w:val="000000"/>
                <w:lang w:val="es-CO"/>
              </w:rPr>
            </w:pPr>
            <w:r w:rsidRPr="001338DC">
              <w:rPr>
                <w:rFonts w:ascii="Arial" w:hAnsi="Arial" w:cs="Arial"/>
                <w:color w:val="000000"/>
                <w:lang w:val="es-CO"/>
              </w:rPr>
              <w:t>Aplicación de un instrumento para la sistematización de los espacios de rendición de cuentas.</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8AE1B" w14:textId="77777777" w:rsidR="001338DC" w:rsidRPr="001338DC" w:rsidRDefault="001338DC" w:rsidP="001338DC">
            <w:pPr>
              <w:overflowPunct/>
              <w:autoSpaceDE/>
              <w:autoSpaceDN/>
              <w:adjustRightInd/>
              <w:rPr>
                <w:rFonts w:ascii="Arial" w:hAnsi="Arial" w:cs="Arial"/>
                <w:color w:val="000000"/>
                <w:lang w:val="es-CO"/>
              </w:rPr>
            </w:pPr>
            <w:r w:rsidRPr="001338DC">
              <w:rPr>
                <w:rFonts w:ascii="Arial" w:hAnsi="Arial" w:cs="Arial"/>
                <w:color w:val="000000"/>
                <w:lang w:val="es-CO"/>
              </w:rPr>
              <w:t>Subdirección Académica</w:t>
            </w:r>
            <w:r w:rsidRPr="001338DC">
              <w:rPr>
                <w:rFonts w:ascii="Arial" w:hAnsi="Arial" w:cs="Arial"/>
                <w:color w:val="000000"/>
                <w:lang w:val="es-CO"/>
              </w:rPr>
              <w:br/>
              <w:t>Oficina Asesora de Planeación</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DC45E9"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Marzo a Octubre</w:t>
            </w:r>
          </w:p>
        </w:tc>
        <w:tc>
          <w:tcPr>
            <w:tcW w:w="79" w:type="pct"/>
            <w:tcBorders>
              <w:left w:val="single" w:sz="4" w:space="0" w:color="auto"/>
            </w:tcBorders>
            <w:vAlign w:val="center"/>
            <w:hideMark/>
          </w:tcPr>
          <w:p w14:paraId="6272B81C" w14:textId="77777777" w:rsidR="001338DC" w:rsidRPr="001338DC" w:rsidRDefault="001338DC" w:rsidP="001338DC">
            <w:pPr>
              <w:overflowPunct/>
              <w:autoSpaceDE/>
              <w:autoSpaceDN/>
              <w:adjustRightInd/>
              <w:rPr>
                <w:rFonts w:ascii="Arial" w:hAnsi="Arial" w:cs="Arial"/>
                <w:lang w:val="es-CO"/>
              </w:rPr>
            </w:pPr>
          </w:p>
        </w:tc>
      </w:tr>
      <w:tr w:rsidR="001338DC" w:rsidRPr="001338DC" w14:paraId="073C2ABA"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414C921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8D778A"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Elaborar publicaciones de programas de investigación en la página web, elaboración de carteleras o avisos informativos para ser ubicadas en zonas de fácil acceso de los ciudadanos o para consulta en redes sociales.</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2FB44A"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Subdirección Académica- Divulgación y Comunicación</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4357B"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Abril a Noviembre</w:t>
            </w:r>
          </w:p>
        </w:tc>
        <w:tc>
          <w:tcPr>
            <w:tcW w:w="79" w:type="pct"/>
            <w:tcBorders>
              <w:left w:val="single" w:sz="4" w:space="0" w:color="auto"/>
            </w:tcBorders>
            <w:vAlign w:val="center"/>
            <w:hideMark/>
          </w:tcPr>
          <w:p w14:paraId="582464CE" w14:textId="77777777" w:rsidR="001338DC" w:rsidRPr="001338DC" w:rsidRDefault="001338DC" w:rsidP="001338DC">
            <w:pPr>
              <w:overflowPunct/>
              <w:autoSpaceDE/>
              <w:autoSpaceDN/>
              <w:adjustRightInd/>
              <w:rPr>
                <w:rFonts w:ascii="Arial" w:hAnsi="Arial" w:cs="Arial"/>
                <w:lang w:val="es-CO"/>
              </w:rPr>
            </w:pPr>
          </w:p>
        </w:tc>
      </w:tr>
      <w:tr w:rsidR="001338DC" w:rsidRPr="001338DC" w14:paraId="56A53CF8"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2A3FC6A9"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B517DC"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Actualizar la información contenida en el vínculo Proyectos Académicos de la página Web de acuerdo con los estudios a realizar en 2021</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61444A"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Subdirección Académica</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59DFB"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Abril</w:t>
            </w:r>
          </w:p>
        </w:tc>
        <w:tc>
          <w:tcPr>
            <w:tcW w:w="79" w:type="pct"/>
            <w:tcBorders>
              <w:left w:val="single" w:sz="4" w:space="0" w:color="auto"/>
            </w:tcBorders>
            <w:vAlign w:val="center"/>
            <w:hideMark/>
          </w:tcPr>
          <w:p w14:paraId="1C0A6A85" w14:textId="77777777" w:rsidR="001338DC" w:rsidRPr="001338DC" w:rsidRDefault="001338DC" w:rsidP="001338DC">
            <w:pPr>
              <w:overflowPunct/>
              <w:autoSpaceDE/>
              <w:autoSpaceDN/>
              <w:adjustRightInd/>
              <w:rPr>
                <w:rFonts w:ascii="Arial" w:hAnsi="Arial" w:cs="Arial"/>
                <w:lang w:val="es-CO"/>
              </w:rPr>
            </w:pPr>
          </w:p>
        </w:tc>
      </w:tr>
      <w:tr w:rsidR="001338DC" w:rsidRPr="001338DC" w14:paraId="36BBAAF8"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1C20C8F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CA8186"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Elaborar y divulgar boletín de comunicación externo e interno del IDEP a la ciudadanía</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7CAB1"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Subdirección Académica</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7E069"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Abril a Diciembre</w:t>
            </w:r>
          </w:p>
        </w:tc>
        <w:tc>
          <w:tcPr>
            <w:tcW w:w="79" w:type="pct"/>
            <w:tcBorders>
              <w:left w:val="single" w:sz="4" w:space="0" w:color="auto"/>
            </w:tcBorders>
            <w:vAlign w:val="center"/>
            <w:hideMark/>
          </w:tcPr>
          <w:p w14:paraId="3FB8FC81" w14:textId="77777777" w:rsidR="001338DC" w:rsidRPr="001338DC" w:rsidRDefault="001338DC" w:rsidP="001338DC">
            <w:pPr>
              <w:overflowPunct/>
              <w:autoSpaceDE/>
              <w:autoSpaceDN/>
              <w:adjustRightInd/>
              <w:rPr>
                <w:rFonts w:ascii="Arial" w:hAnsi="Arial" w:cs="Arial"/>
                <w:lang w:val="es-CO"/>
              </w:rPr>
            </w:pPr>
          </w:p>
        </w:tc>
      </w:tr>
      <w:tr w:rsidR="001338DC" w:rsidRPr="001338DC" w14:paraId="0458E364"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589AB83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A2B2A" w14:textId="75EACBB8"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Implementar acciones virtuales de participación ciudadana en los espacios que se programen desde la Subdirección Académica del IDEP en la vigencia 2021</w:t>
            </w:r>
          </w:p>
        </w:tc>
        <w:tc>
          <w:tcPr>
            <w:tcW w:w="10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6B689" w14:textId="77777777" w:rsidR="001338DC" w:rsidRPr="001338DC" w:rsidRDefault="001338DC" w:rsidP="001338DC">
            <w:pPr>
              <w:overflowPunct/>
              <w:autoSpaceDE/>
              <w:autoSpaceDN/>
              <w:adjustRightInd/>
              <w:rPr>
                <w:rFonts w:ascii="Arial" w:hAnsi="Arial" w:cs="Arial"/>
                <w:color w:val="000000"/>
                <w:lang w:val="es-CO"/>
              </w:rPr>
            </w:pPr>
            <w:r w:rsidRPr="001338DC">
              <w:rPr>
                <w:rFonts w:ascii="Arial" w:hAnsi="Arial" w:cs="Arial"/>
                <w:color w:val="000000"/>
                <w:lang w:val="es-CO"/>
              </w:rPr>
              <w:t>Subdirección Académica</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457C29"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Junio a Noviembre</w:t>
            </w:r>
          </w:p>
        </w:tc>
        <w:tc>
          <w:tcPr>
            <w:tcW w:w="79" w:type="pct"/>
            <w:tcBorders>
              <w:left w:val="single" w:sz="4" w:space="0" w:color="auto"/>
            </w:tcBorders>
            <w:vAlign w:val="center"/>
            <w:hideMark/>
          </w:tcPr>
          <w:p w14:paraId="1CB91B4C" w14:textId="77777777" w:rsidR="001338DC" w:rsidRPr="001338DC" w:rsidRDefault="001338DC" w:rsidP="001338DC">
            <w:pPr>
              <w:overflowPunct/>
              <w:autoSpaceDE/>
              <w:autoSpaceDN/>
              <w:adjustRightInd/>
              <w:rPr>
                <w:rFonts w:ascii="Arial" w:hAnsi="Arial" w:cs="Arial"/>
                <w:lang w:val="es-CO"/>
              </w:rPr>
            </w:pPr>
          </w:p>
        </w:tc>
      </w:tr>
      <w:tr w:rsidR="001338DC" w:rsidRPr="001338DC" w14:paraId="15F65AD6"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61183051" w14:textId="77777777" w:rsidR="001338DC" w:rsidRPr="001338DC" w:rsidRDefault="001338DC" w:rsidP="001338DC">
            <w:pPr>
              <w:overflowPunct/>
              <w:autoSpaceDE/>
              <w:autoSpaceDN/>
              <w:adjustRightInd/>
              <w:rPr>
                <w:rFonts w:ascii="Arial" w:hAnsi="Arial" w:cs="Arial"/>
                <w:color w:val="000000"/>
                <w:lang w:val="es-CO"/>
              </w:rPr>
            </w:pPr>
          </w:p>
        </w:tc>
        <w:tc>
          <w:tcPr>
            <w:tcW w:w="27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28E15" w14:textId="281C293D"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Realizar dos espacios </w:t>
            </w:r>
            <w:r w:rsidR="00EE0086" w:rsidRPr="00CA01F2">
              <w:rPr>
                <w:rFonts w:ascii="Arial" w:eastAsia="Arial" w:hAnsi="Arial" w:cs="Arial"/>
                <w:color w:val="000000"/>
              </w:rPr>
              <w:t xml:space="preserve">de dialogo ciudadano en el marco de rendición de cuentas </w:t>
            </w:r>
            <w:r w:rsidRPr="00CA01F2">
              <w:rPr>
                <w:rFonts w:ascii="Arial" w:eastAsia="Arial" w:hAnsi="Arial" w:cs="Arial"/>
                <w:color w:val="000000"/>
              </w:rPr>
              <w:t>en los eventos que se programen desde la Subdirección Académica del IDEP de la vigencia 2020 </w:t>
            </w:r>
            <w:r w:rsidRPr="00CA01F2">
              <w:rPr>
                <w:rFonts w:ascii="Arial" w:eastAsia="Arial" w:hAnsi="Arial" w:cs="Arial"/>
                <w:color w:val="000000"/>
              </w:rPr>
              <w:br/>
              <w:t xml:space="preserve">Socialización Índice del Derecho a la Educación </w:t>
            </w:r>
          </w:p>
        </w:tc>
        <w:tc>
          <w:tcPr>
            <w:tcW w:w="10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1A2BC" w14:textId="354B789E" w:rsidR="001338DC" w:rsidRPr="00CA01F2" w:rsidRDefault="001338DC" w:rsidP="001338DC">
            <w:pPr>
              <w:overflowPunct/>
              <w:autoSpaceDE/>
              <w:autoSpaceDN/>
              <w:adjustRightInd/>
              <w:jc w:val="both"/>
              <w:rPr>
                <w:rFonts w:ascii="Arial" w:hAnsi="Arial" w:cs="Arial"/>
                <w:color w:val="212121"/>
                <w:lang w:val="es-CO"/>
              </w:rPr>
            </w:pPr>
            <w:r w:rsidRPr="00CA01F2">
              <w:rPr>
                <w:rFonts w:ascii="Arial" w:eastAsia="Arial" w:hAnsi="Arial" w:cs="Arial"/>
                <w:color w:val="212121"/>
              </w:rPr>
              <w:t xml:space="preserve">Subdirección Académica </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9CB760" w14:textId="2CBEE726" w:rsidR="001338DC" w:rsidRPr="00CA01F2" w:rsidRDefault="009726CF"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Agosto</w:t>
            </w:r>
          </w:p>
        </w:tc>
        <w:tc>
          <w:tcPr>
            <w:tcW w:w="79" w:type="pct"/>
            <w:tcBorders>
              <w:left w:val="single" w:sz="4" w:space="0" w:color="auto"/>
            </w:tcBorders>
            <w:vAlign w:val="center"/>
            <w:hideMark/>
          </w:tcPr>
          <w:p w14:paraId="7733B6BD" w14:textId="77777777" w:rsidR="001338DC" w:rsidRPr="001338DC" w:rsidRDefault="001338DC" w:rsidP="001338DC">
            <w:pPr>
              <w:overflowPunct/>
              <w:autoSpaceDE/>
              <w:autoSpaceDN/>
              <w:adjustRightInd/>
              <w:rPr>
                <w:rFonts w:ascii="Arial" w:hAnsi="Arial" w:cs="Arial"/>
                <w:lang w:val="es-CO"/>
              </w:rPr>
            </w:pPr>
          </w:p>
        </w:tc>
      </w:tr>
      <w:tr w:rsidR="001338DC" w:rsidRPr="001338DC" w14:paraId="39FA3353"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2707860E" w14:textId="77777777" w:rsidR="001338DC" w:rsidRPr="001338DC" w:rsidRDefault="001338DC" w:rsidP="001338DC">
            <w:pPr>
              <w:overflowPunct/>
              <w:autoSpaceDE/>
              <w:autoSpaceDN/>
              <w:adjustRightInd/>
              <w:rPr>
                <w:rFonts w:ascii="Arial" w:hAnsi="Arial" w:cs="Arial"/>
                <w:color w:val="000000"/>
                <w:lang w:val="es-CO"/>
              </w:rPr>
            </w:pP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66AE9768" w14:textId="77777777" w:rsidR="001338DC" w:rsidRPr="00CA01F2" w:rsidRDefault="001338DC" w:rsidP="001338DC">
            <w:pPr>
              <w:overflowPunct/>
              <w:autoSpaceDE/>
              <w:autoSpaceDN/>
              <w:adjustRightInd/>
              <w:rPr>
                <w:rFonts w:ascii="Arial" w:hAnsi="Arial" w:cs="Arial"/>
                <w:color w:val="000000"/>
                <w:lang w:val="es-CO"/>
              </w:rPr>
            </w:pPr>
          </w:p>
        </w:tc>
        <w:tc>
          <w:tcPr>
            <w:tcW w:w="1041" w:type="pct"/>
            <w:vMerge/>
            <w:tcBorders>
              <w:top w:val="single" w:sz="4" w:space="0" w:color="auto"/>
              <w:left w:val="single" w:sz="4" w:space="0" w:color="auto"/>
              <w:bottom w:val="single" w:sz="4" w:space="0" w:color="auto"/>
              <w:right w:val="single" w:sz="4" w:space="0" w:color="auto"/>
            </w:tcBorders>
            <w:vAlign w:val="center"/>
            <w:hideMark/>
          </w:tcPr>
          <w:p w14:paraId="52F36631" w14:textId="77777777" w:rsidR="001338DC" w:rsidRPr="00CA01F2" w:rsidRDefault="001338DC" w:rsidP="001338DC">
            <w:pPr>
              <w:overflowPunct/>
              <w:autoSpaceDE/>
              <w:autoSpaceDN/>
              <w:adjustRightInd/>
              <w:rPr>
                <w:rFonts w:ascii="Arial" w:hAnsi="Arial" w:cs="Arial"/>
                <w:color w:val="212121"/>
                <w:lang w:val="es-CO"/>
              </w:rPr>
            </w:pP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A457D7" w14:textId="08DCD2CA" w:rsidR="001338DC" w:rsidRPr="00CA01F2" w:rsidRDefault="009726CF"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Dici</w:t>
            </w:r>
            <w:r w:rsidR="001338DC" w:rsidRPr="00CA01F2">
              <w:rPr>
                <w:rFonts w:ascii="Arial" w:eastAsia="Arial" w:hAnsi="Arial" w:cs="Arial"/>
                <w:color w:val="000000"/>
              </w:rPr>
              <w:t>embre</w:t>
            </w:r>
          </w:p>
        </w:tc>
        <w:tc>
          <w:tcPr>
            <w:tcW w:w="79" w:type="pct"/>
            <w:tcBorders>
              <w:left w:val="single" w:sz="4" w:space="0" w:color="auto"/>
            </w:tcBorders>
            <w:vAlign w:val="center"/>
            <w:hideMark/>
          </w:tcPr>
          <w:p w14:paraId="61CABE7A" w14:textId="77777777" w:rsidR="001338DC" w:rsidRPr="001338DC" w:rsidRDefault="001338DC" w:rsidP="001338DC">
            <w:pPr>
              <w:overflowPunct/>
              <w:autoSpaceDE/>
              <w:autoSpaceDN/>
              <w:adjustRightInd/>
              <w:rPr>
                <w:rFonts w:ascii="Arial" w:hAnsi="Arial" w:cs="Arial"/>
                <w:lang w:val="es-CO"/>
              </w:rPr>
            </w:pPr>
          </w:p>
        </w:tc>
      </w:tr>
      <w:tr w:rsidR="001338DC" w:rsidRPr="001338DC" w14:paraId="30898528"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4E8FCB4C"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76FBC5" w14:textId="295A9E29"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Divulgar a la ciudadanía los resultados de sus investigaciones y desarrollos pedagógicos a través de la participación del IDEP en la feria del libro para la vigencia 2021</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5BA9D" w14:textId="77777777"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Subdirección Académica</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4F139" w14:textId="77777777"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Septiembre a Octubre</w:t>
            </w:r>
          </w:p>
        </w:tc>
        <w:tc>
          <w:tcPr>
            <w:tcW w:w="79" w:type="pct"/>
            <w:tcBorders>
              <w:left w:val="single" w:sz="4" w:space="0" w:color="auto"/>
            </w:tcBorders>
            <w:vAlign w:val="center"/>
            <w:hideMark/>
          </w:tcPr>
          <w:p w14:paraId="17D70FE5" w14:textId="77777777" w:rsidR="001338DC" w:rsidRPr="001338DC" w:rsidRDefault="001338DC" w:rsidP="001338DC">
            <w:pPr>
              <w:overflowPunct/>
              <w:autoSpaceDE/>
              <w:autoSpaceDN/>
              <w:adjustRightInd/>
              <w:rPr>
                <w:rFonts w:ascii="Arial" w:hAnsi="Arial" w:cs="Arial"/>
                <w:lang w:val="es-CO"/>
              </w:rPr>
            </w:pPr>
          </w:p>
        </w:tc>
      </w:tr>
      <w:tr w:rsidR="001338DC" w:rsidRPr="001338DC" w14:paraId="14E8C3C0" w14:textId="77777777" w:rsidTr="00CA01F2">
        <w:trPr>
          <w:trHeight w:val="413"/>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26C61584"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343575" w14:textId="77777777"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hAnsi="Arial" w:cs="Arial"/>
                <w:color w:val="000000"/>
              </w:rPr>
              <w:t>Socialización y cierre Programa "Maestros y maestras que inspiran"</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38E71" w14:textId="3583A901" w:rsidR="001338DC" w:rsidRPr="00CA01F2" w:rsidRDefault="001338DC" w:rsidP="001338DC">
            <w:pPr>
              <w:overflowPunct/>
              <w:autoSpaceDE/>
              <w:autoSpaceDN/>
              <w:adjustRightInd/>
              <w:jc w:val="both"/>
              <w:rPr>
                <w:rFonts w:ascii="Arial" w:hAnsi="Arial" w:cs="Arial"/>
                <w:color w:val="212121"/>
                <w:lang w:val="es-CO"/>
              </w:rPr>
            </w:pPr>
            <w:r w:rsidRPr="00CA01F2">
              <w:rPr>
                <w:rFonts w:ascii="Arial" w:eastAsia="Arial" w:hAnsi="Arial" w:cs="Arial"/>
                <w:color w:val="212121"/>
              </w:rPr>
              <w:t xml:space="preserve">Subdirección Académica </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AC3CBA" w14:textId="1AED7C57" w:rsidR="001338DC" w:rsidRPr="00CA01F2" w:rsidRDefault="00686661"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Diciembre</w:t>
            </w:r>
          </w:p>
        </w:tc>
        <w:tc>
          <w:tcPr>
            <w:tcW w:w="79" w:type="pct"/>
            <w:tcBorders>
              <w:left w:val="single" w:sz="4" w:space="0" w:color="auto"/>
            </w:tcBorders>
            <w:vAlign w:val="center"/>
            <w:hideMark/>
          </w:tcPr>
          <w:p w14:paraId="69A25D78" w14:textId="77777777" w:rsidR="001338DC" w:rsidRPr="001338DC" w:rsidRDefault="001338DC" w:rsidP="001338DC">
            <w:pPr>
              <w:overflowPunct/>
              <w:autoSpaceDE/>
              <w:autoSpaceDN/>
              <w:adjustRightInd/>
              <w:rPr>
                <w:rFonts w:ascii="Arial" w:hAnsi="Arial" w:cs="Arial"/>
                <w:lang w:val="es-CO"/>
              </w:rPr>
            </w:pPr>
          </w:p>
        </w:tc>
      </w:tr>
      <w:tr w:rsidR="00CA01F2" w:rsidRPr="001338DC" w14:paraId="694D7E01"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40AA599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3BE293" w14:textId="77777777"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Cierre del Premio a la Investigación e Innovación Educativa Versión XV</w:t>
            </w:r>
          </w:p>
        </w:tc>
        <w:tc>
          <w:tcPr>
            <w:tcW w:w="10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7010BF" w14:textId="3521979B"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 xml:space="preserve">Subdirección Académica </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F4615" w14:textId="77777777"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 xml:space="preserve">Noviembre </w:t>
            </w:r>
          </w:p>
        </w:tc>
        <w:tc>
          <w:tcPr>
            <w:tcW w:w="79" w:type="pct"/>
            <w:tcBorders>
              <w:left w:val="single" w:sz="4" w:space="0" w:color="auto"/>
            </w:tcBorders>
            <w:vAlign w:val="center"/>
            <w:hideMark/>
          </w:tcPr>
          <w:p w14:paraId="42704D2D" w14:textId="77777777" w:rsidR="001338DC" w:rsidRPr="001338DC" w:rsidRDefault="001338DC" w:rsidP="001338DC">
            <w:pPr>
              <w:overflowPunct/>
              <w:autoSpaceDE/>
              <w:autoSpaceDN/>
              <w:adjustRightInd/>
              <w:rPr>
                <w:rFonts w:ascii="Arial" w:hAnsi="Arial" w:cs="Arial"/>
                <w:lang w:val="es-CO"/>
              </w:rPr>
            </w:pPr>
          </w:p>
        </w:tc>
      </w:tr>
      <w:tr w:rsidR="00CA01F2" w:rsidRPr="001338DC" w14:paraId="138D0E8C" w14:textId="77777777" w:rsidTr="00CA01F2">
        <w:trPr>
          <w:trHeight w:val="2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5CE7D137"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single" w:sz="4" w:space="0" w:color="auto"/>
              <w:right w:val="single" w:sz="4" w:space="0" w:color="auto"/>
            </w:tcBorders>
            <w:shd w:val="clear" w:color="000000" w:fill="FFFFFF"/>
            <w:vAlign w:val="center"/>
            <w:hideMark/>
          </w:tcPr>
          <w:p w14:paraId="4452178D" w14:textId="77777777" w:rsidR="001338DC" w:rsidRPr="00CA01F2" w:rsidRDefault="001338DC" w:rsidP="001338DC">
            <w:pPr>
              <w:overflowPunct/>
              <w:autoSpaceDE/>
              <w:autoSpaceDN/>
              <w:adjustRightInd/>
              <w:jc w:val="both"/>
              <w:rPr>
                <w:rFonts w:ascii="Arial" w:hAnsi="Arial" w:cs="Arial"/>
                <w:color w:val="000000"/>
                <w:lang w:val="es-CO"/>
              </w:rPr>
            </w:pPr>
            <w:r w:rsidRPr="00CA01F2">
              <w:rPr>
                <w:rFonts w:ascii="Arial" w:eastAsia="Arial" w:hAnsi="Arial" w:cs="Arial"/>
                <w:color w:val="000000"/>
              </w:rPr>
              <w:t>Informar a la ciudadanía y grupos de interés definidos los resultados de sus investigaciones y desarrollos pedagógicos a través de:</w:t>
            </w:r>
          </w:p>
        </w:tc>
        <w:tc>
          <w:tcPr>
            <w:tcW w:w="10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5E5DA2" w14:textId="77777777" w:rsidR="001338DC" w:rsidRPr="00CA01F2" w:rsidRDefault="001338DC" w:rsidP="00CA01F2">
            <w:pPr>
              <w:overflowPunct/>
              <w:autoSpaceDE/>
              <w:autoSpaceDN/>
              <w:adjustRightInd/>
              <w:ind w:left="355"/>
              <w:jc w:val="both"/>
              <w:rPr>
                <w:rFonts w:ascii="Arial" w:hAnsi="Arial" w:cs="Arial"/>
                <w:color w:val="212121"/>
                <w:lang w:val="es-CO"/>
              </w:rPr>
            </w:pPr>
            <w:r w:rsidRPr="00CA01F2">
              <w:rPr>
                <w:rFonts w:ascii="Arial" w:eastAsia="Arial" w:hAnsi="Arial" w:cs="Arial"/>
                <w:color w:val="212121"/>
              </w:rPr>
              <w:t>Subdirección Académica- Divulgación y comunicación</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AC86C" w14:textId="77777777" w:rsidR="001338DC" w:rsidRPr="00CA01F2" w:rsidRDefault="001338DC" w:rsidP="001338DC">
            <w:pPr>
              <w:overflowPunct/>
              <w:autoSpaceDE/>
              <w:autoSpaceDN/>
              <w:adjustRightInd/>
              <w:jc w:val="both"/>
              <w:rPr>
                <w:rFonts w:ascii="Arial" w:hAnsi="Arial" w:cs="Arial"/>
                <w:color w:val="212121"/>
                <w:lang w:val="es-CO"/>
              </w:rPr>
            </w:pPr>
            <w:r w:rsidRPr="00CA01F2">
              <w:rPr>
                <w:rFonts w:ascii="Arial" w:eastAsia="Arial" w:hAnsi="Arial" w:cs="Arial"/>
                <w:color w:val="212121"/>
              </w:rPr>
              <w:t>Cada vez se realice una investigación y desarrollo pedagógico</w:t>
            </w:r>
          </w:p>
        </w:tc>
        <w:tc>
          <w:tcPr>
            <w:tcW w:w="79" w:type="pct"/>
            <w:tcBorders>
              <w:left w:val="single" w:sz="4" w:space="0" w:color="auto"/>
            </w:tcBorders>
            <w:vAlign w:val="center"/>
            <w:hideMark/>
          </w:tcPr>
          <w:p w14:paraId="4927B665" w14:textId="77777777" w:rsidR="001338DC" w:rsidRPr="001338DC" w:rsidRDefault="001338DC" w:rsidP="001338DC">
            <w:pPr>
              <w:overflowPunct/>
              <w:autoSpaceDE/>
              <w:autoSpaceDN/>
              <w:adjustRightInd/>
              <w:rPr>
                <w:rFonts w:ascii="Arial" w:hAnsi="Arial" w:cs="Arial"/>
                <w:lang w:val="es-CO"/>
              </w:rPr>
            </w:pPr>
          </w:p>
        </w:tc>
      </w:tr>
      <w:tr w:rsidR="00CA01F2" w:rsidRPr="001338DC" w14:paraId="75D906D0" w14:textId="77777777" w:rsidTr="00CA01F2">
        <w:trPr>
          <w:trHeight w:val="20"/>
        </w:trPr>
        <w:tc>
          <w:tcPr>
            <w:tcW w:w="208" w:type="pct"/>
            <w:vMerge/>
            <w:tcBorders>
              <w:top w:val="single" w:sz="4" w:space="0" w:color="auto"/>
              <w:left w:val="single" w:sz="8" w:space="0" w:color="auto"/>
              <w:bottom w:val="single" w:sz="8" w:space="0" w:color="000000"/>
              <w:right w:val="single" w:sz="4" w:space="0" w:color="auto"/>
            </w:tcBorders>
            <w:vAlign w:val="center"/>
            <w:hideMark/>
          </w:tcPr>
          <w:p w14:paraId="2573B9C6"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right w:val="single" w:sz="4" w:space="0" w:color="auto"/>
            </w:tcBorders>
            <w:shd w:val="clear" w:color="000000" w:fill="FFFFFF"/>
            <w:vAlign w:val="center"/>
            <w:hideMark/>
          </w:tcPr>
          <w:p w14:paraId="63AA9B26"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Libros</w:t>
            </w:r>
          </w:p>
        </w:tc>
        <w:tc>
          <w:tcPr>
            <w:tcW w:w="1041" w:type="pct"/>
            <w:vMerge/>
            <w:tcBorders>
              <w:top w:val="single" w:sz="4" w:space="0" w:color="auto"/>
              <w:left w:val="single" w:sz="4" w:space="0" w:color="auto"/>
              <w:bottom w:val="single" w:sz="8" w:space="0" w:color="000000"/>
              <w:right w:val="single" w:sz="8" w:space="0" w:color="000000"/>
            </w:tcBorders>
            <w:vAlign w:val="center"/>
            <w:hideMark/>
          </w:tcPr>
          <w:p w14:paraId="230EDFD1" w14:textId="77777777" w:rsidR="001338DC" w:rsidRPr="001338DC" w:rsidRDefault="001338DC" w:rsidP="001338DC">
            <w:pPr>
              <w:overflowPunct/>
              <w:autoSpaceDE/>
              <w:autoSpaceDN/>
              <w:adjustRightInd/>
              <w:rPr>
                <w:rFonts w:ascii="Arial" w:hAnsi="Arial" w:cs="Arial"/>
                <w:color w:val="212121"/>
                <w:lang w:val="es-CO"/>
              </w:rPr>
            </w:pPr>
          </w:p>
        </w:tc>
        <w:tc>
          <w:tcPr>
            <w:tcW w:w="879" w:type="pct"/>
            <w:vMerge/>
            <w:tcBorders>
              <w:top w:val="single" w:sz="4" w:space="0" w:color="auto"/>
              <w:left w:val="single" w:sz="8" w:space="0" w:color="000000"/>
              <w:bottom w:val="single" w:sz="8" w:space="0" w:color="000000"/>
              <w:right w:val="single" w:sz="8" w:space="0" w:color="auto"/>
            </w:tcBorders>
            <w:vAlign w:val="center"/>
            <w:hideMark/>
          </w:tcPr>
          <w:p w14:paraId="0CAD14B1" w14:textId="77777777" w:rsidR="001338DC" w:rsidRPr="001338DC" w:rsidRDefault="001338DC" w:rsidP="001338DC">
            <w:pPr>
              <w:overflowPunct/>
              <w:autoSpaceDE/>
              <w:autoSpaceDN/>
              <w:adjustRightInd/>
              <w:rPr>
                <w:rFonts w:ascii="Arial" w:hAnsi="Arial" w:cs="Arial"/>
                <w:color w:val="212121"/>
                <w:lang w:val="es-CO"/>
              </w:rPr>
            </w:pPr>
          </w:p>
        </w:tc>
        <w:tc>
          <w:tcPr>
            <w:tcW w:w="79" w:type="pct"/>
            <w:vAlign w:val="center"/>
            <w:hideMark/>
          </w:tcPr>
          <w:p w14:paraId="66FF93E1" w14:textId="77777777" w:rsidR="001338DC" w:rsidRPr="001338DC" w:rsidRDefault="001338DC" w:rsidP="001338DC">
            <w:pPr>
              <w:overflowPunct/>
              <w:autoSpaceDE/>
              <w:autoSpaceDN/>
              <w:adjustRightInd/>
              <w:rPr>
                <w:rFonts w:ascii="Arial" w:hAnsi="Arial" w:cs="Arial"/>
                <w:lang w:val="es-CO"/>
              </w:rPr>
            </w:pPr>
          </w:p>
        </w:tc>
      </w:tr>
      <w:tr w:rsidR="00CA01F2" w:rsidRPr="001338DC" w14:paraId="66462C0B" w14:textId="77777777" w:rsidTr="00CA01F2">
        <w:trPr>
          <w:trHeight w:val="20"/>
        </w:trPr>
        <w:tc>
          <w:tcPr>
            <w:tcW w:w="208" w:type="pct"/>
            <w:vMerge/>
            <w:tcBorders>
              <w:top w:val="single" w:sz="8" w:space="0" w:color="auto"/>
              <w:left w:val="single" w:sz="8" w:space="0" w:color="auto"/>
              <w:bottom w:val="single" w:sz="8" w:space="0" w:color="000000"/>
              <w:right w:val="single" w:sz="4" w:space="0" w:color="auto"/>
            </w:tcBorders>
            <w:vAlign w:val="center"/>
            <w:hideMark/>
          </w:tcPr>
          <w:p w14:paraId="21E73EDE"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bottom w:val="nil"/>
              <w:right w:val="single" w:sz="4" w:space="0" w:color="auto"/>
            </w:tcBorders>
            <w:shd w:val="clear" w:color="000000" w:fill="FFFFFF"/>
            <w:vAlign w:val="center"/>
            <w:hideMark/>
          </w:tcPr>
          <w:p w14:paraId="3F63944E"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Revista “Educación y Ciudad”</w:t>
            </w:r>
          </w:p>
        </w:tc>
        <w:tc>
          <w:tcPr>
            <w:tcW w:w="1041" w:type="pct"/>
            <w:vMerge/>
            <w:tcBorders>
              <w:top w:val="nil"/>
              <w:left w:val="single" w:sz="4" w:space="0" w:color="auto"/>
              <w:bottom w:val="single" w:sz="8" w:space="0" w:color="000000"/>
              <w:right w:val="single" w:sz="8" w:space="0" w:color="000000"/>
            </w:tcBorders>
            <w:vAlign w:val="center"/>
            <w:hideMark/>
          </w:tcPr>
          <w:p w14:paraId="6A3D3D04" w14:textId="77777777" w:rsidR="001338DC" w:rsidRPr="001338DC" w:rsidRDefault="001338DC" w:rsidP="001338DC">
            <w:pPr>
              <w:overflowPunct/>
              <w:autoSpaceDE/>
              <w:autoSpaceDN/>
              <w:adjustRightInd/>
              <w:rPr>
                <w:rFonts w:ascii="Arial" w:hAnsi="Arial" w:cs="Arial"/>
                <w:color w:val="212121"/>
                <w:lang w:val="es-CO"/>
              </w:rPr>
            </w:pPr>
          </w:p>
        </w:tc>
        <w:tc>
          <w:tcPr>
            <w:tcW w:w="879" w:type="pct"/>
            <w:vMerge/>
            <w:tcBorders>
              <w:top w:val="nil"/>
              <w:left w:val="single" w:sz="8" w:space="0" w:color="000000"/>
              <w:bottom w:val="single" w:sz="8" w:space="0" w:color="000000"/>
              <w:right w:val="single" w:sz="8" w:space="0" w:color="auto"/>
            </w:tcBorders>
            <w:vAlign w:val="center"/>
            <w:hideMark/>
          </w:tcPr>
          <w:p w14:paraId="4A5AA3A3" w14:textId="77777777" w:rsidR="001338DC" w:rsidRPr="001338DC" w:rsidRDefault="001338DC" w:rsidP="001338DC">
            <w:pPr>
              <w:overflowPunct/>
              <w:autoSpaceDE/>
              <w:autoSpaceDN/>
              <w:adjustRightInd/>
              <w:rPr>
                <w:rFonts w:ascii="Arial" w:hAnsi="Arial" w:cs="Arial"/>
                <w:color w:val="212121"/>
                <w:lang w:val="es-CO"/>
              </w:rPr>
            </w:pPr>
          </w:p>
        </w:tc>
        <w:tc>
          <w:tcPr>
            <w:tcW w:w="79" w:type="pct"/>
            <w:vAlign w:val="center"/>
            <w:hideMark/>
          </w:tcPr>
          <w:p w14:paraId="12446E3F" w14:textId="77777777" w:rsidR="001338DC" w:rsidRPr="001338DC" w:rsidRDefault="001338DC" w:rsidP="001338DC">
            <w:pPr>
              <w:overflowPunct/>
              <w:autoSpaceDE/>
              <w:autoSpaceDN/>
              <w:adjustRightInd/>
              <w:rPr>
                <w:rFonts w:ascii="Arial" w:hAnsi="Arial" w:cs="Arial"/>
                <w:lang w:val="es-CO"/>
              </w:rPr>
            </w:pPr>
          </w:p>
        </w:tc>
      </w:tr>
      <w:tr w:rsidR="00CA01F2" w:rsidRPr="001338DC" w14:paraId="63894FC7" w14:textId="77777777" w:rsidTr="00CA01F2">
        <w:trPr>
          <w:trHeight w:val="20"/>
        </w:trPr>
        <w:tc>
          <w:tcPr>
            <w:tcW w:w="208" w:type="pct"/>
            <w:vMerge/>
            <w:tcBorders>
              <w:top w:val="single" w:sz="8" w:space="0" w:color="auto"/>
              <w:left w:val="single" w:sz="8" w:space="0" w:color="auto"/>
              <w:bottom w:val="single" w:sz="8" w:space="0" w:color="000000"/>
              <w:right w:val="single" w:sz="4" w:space="0" w:color="auto"/>
            </w:tcBorders>
            <w:vAlign w:val="center"/>
            <w:hideMark/>
          </w:tcPr>
          <w:p w14:paraId="2D1494F0"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nil"/>
              <w:left w:val="single" w:sz="4" w:space="0" w:color="auto"/>
              <w:bottom w:val="nil"/>
              <w:right w:val="single" w:sz="4" w:space="0" w:color="auto"/>
            </w:tcBorders>
            <w:shd w:val="clear" w:color="000000" w:fill="FFFFFF"/>
            <w:vAlign w:val="center"/>
            <w:hideMark/>
          </w:tcPr>
          <w:p w14:paraId="09A28718"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Magazín “Aula Urbana”</w:t>
            </w:r>
          </w:p>
        </w:tc>
        <w:tc>
          <w:tcPr>
            <w:tcW w:w="1041" w:type="pct"/>
            <w:vMerge/>
            <w:tcBorders>
              <w:top w:val="nil"/>
              <w:left w:val="single" w:sz="4" w:space="0" w:color="auto"/>
              <w:bottom w:val="single" w:sz="8" w:space="0" w:color="000000"/>
              <w:right w:val="single" w:sz="8" w:space="0" w:color="000000"/>
            </w:tcBorders>
            <w:vAlign w:val="center"/>
            <w:hideMark/>
          </w:tcPr>
          <w:p w14:paraId="3B255745" w14:textId="77777777" w:rsidR="001338DC" w:rsidRPr="001338DC" w:rsidRDefault="001338DC" w:rsidP="001338DC">
            <w:pPr>
              <w:overflowPunct/>
              <w:autoSpaceDE/>
              <w:autoSpaceDN/>
              <w:adjustRightInd/>
              <w:rPr>
                <w:rFonts w:ascii="Arial" w:hAnsi="Arial" w:cs="Arial"/>
                <w:color w:val="212121"/>
                <w:lang w:val="es-CO"/>
              </w:rPr>
            </w:pPr>
          </w:p>
        </w:tc>
        <w:tc>
          <w:tcPr>
            <w:tcW w:w="879" w:type="pct"/>
            <w:vMerge/>
            <w:tcBorders>
              <w:top w:val="nil"/>
              <w:left w:val="single" w:sz="8" w:space="0" w:color="000000"/>
              <w:bottom w:val="single" w:sz="8" w:space="0" w:color="000000"/>
              <w:right w:val="single" w:sz="8" w:space="0" w:color="auto"/>
            </w:tcBorders>
            <w:vAlign w:val="center"/>
            <w:hideMark/>
          </w:tcPr>
          <w:p w14:paraId="2291CAB5" w14:textId="77777777" w:rsidR="001338DC" w:rsidRPr="001338DC" w:rsidRDefault="001338DC" w:rsidP="001338DC">
            <w:pPr>
              <w:overflowPunct/>
              <w:autoSpaceDE/>
              <w:autoSpaceDN/>
              <w:adjustRightInd/>
              <w:rPr>
                <w:rFonts w:ascii="Arial" w:hAnsi="Arial" w:cs="Arial"/>
                <w:color w:val="212121"/>
                <w:lang w:val="es-CO"/>
              </w:rPr>
            </w:pPr>
          </w:p>
        </w:tc>
        <w:tc>
          <w:tcPr>
            <w:tcW w:w="79" w:type="pct"/>
            <w:vAlign w:val="center"/>
            <w:hideMark/>
          </w:tcPr>
          <w:p w14:paraId="4E1A5706" w14:textId="77777777" w:rsidR="001338DC" w:rsidRPr="001338DC" w:rsidRDefault="001338DC" w:rsidP="001338DC">
            <w:pPr>
              <w:overflowPunct/>
              <w:autoSpaceDE/>
              <w:autoSpaceDN/>
              <w:adjustRightInd/>
              <w:rPr>
                <w:rFonts w:ascii="Arial" w:hAnsi="Arial" w:cs="Arial"/>
                <w:lang w:val="es-CO"/>
              </w:rPr>
            </w:pPr>
          </w:p>
        </w:tc>
      </w:tr>
      <w:tr w:rsidR="00CA01F2" w:rsidRPr="001338DC" w14:paraId="25A16491" w14:textId="77777777" w:rsidTr="00CA01F2">
        <w:trPr>
          <w:trHeight w:val="20"/>
        </w:trPr>
        <w:tc>
          <w:tcPr>
            <w:tcW w:w="208" w:type="pct"/>
            <w:vMerge/>
            <w:tcBorders>
              <w:top w:val="single" w:sz="8" w:space="0" w:color="auto"/>
              <w:left w:val="single" w:sz="8" w:space="0" w:color="auto"/>
              <w:bottom w:val="single" w:sz="8" w:space="0" w:color="000000"/>
              <w:right w:val="single" w:sz="4" w:space="0" w:color="auto"/>
            </w:tcBorders>
            <w:vAlign w:val="center"/>
            <w:hideMark/>
          </w:tcPr>
          <w:p w14:paraId="25C673E4"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nil"/>
              <w:left w:val="single" w:sz="4" w:space="0" w:color="auto"/>
              <w:right w:val="single" w:sz="4" w:space="0" w:color="auto"/>
            </w:tcBorders>
            <w:shd w:val="clear" w:color="000000" w:fill="FFFFFF"/>
            <w:vAlign w:val="center"/>
            <w:hideMark/>
          </w:tcPr>
          <w:p w14:paraId="4958A933"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Medios virtuales: Foros, redes sociales (Facebook, Twitter, YouTube, Instagram)</w:t>
            </w:r>
          </w:p>
        </w:tc>
        <w:tc>
          <w:tcPr>
            <w:tcW w:w="1041" w:type="pct"/>
            <w:vMerge/>
            <w:tcBorders>
              <w:top w:val="nil"/>
              <w:left w:val="single" w:sz="4" w:space="0" w:color="auto"/>
              <w:bottom w:val="single" w:sz="8" w:space="0" w:color="000000"/>
              <w:right w:val="single" w:sz="8" w:space="0" w:color="000000"/>
            </w:tcBorders>
            <w:vAlign w:val="center"/>
            <w:hideMark/>
          </w:tcPr>
          <w:p w14:paraId="695FEC48" w14:textId="77777777" w:rsidR="001338DC" w:rsidRPr="001338DC" w:rsidRDefault="001338DC" w:rsidP="001338DC">
            <w:pPr>
              <w:overflowPunct/>
              <w:autoSpaceDE/>
              <w:autoSpaceDN/>
              <w:adjustRightInd/>
              <w:rPr>
                <w:rFonts w:ascii="Arial" w:hAnsi="Arial" w:cs="Arial"/>
                <w:color w:val="212121"/>
                <w:lang w:val="es-CO"/>
              </w:rPr>
            </w:pPr>
          </w:p>
        </w:tc>
        <w:tc>
          <w:tcPr>
            <w:tcW w:w="879" w:type="pct"/>
            <w:vMerge/>
            <w:tcBorders>
              <w:top w:val="nil"/>
              <w:left w:val="single" w:sz="8" w:space="0" w:color="000000"/>
              <w:bottom w:val="single" w:sz="8" w:space="0" w:color="000000"/>
              <w:right w:val="single" w:sz="8" w:space="0" w:color="auto"/>
            </w:tcBorders>
            <w:vAlign w:val="center"/>
            <w:hideMark/>
          </w:tcPr>
          <w:p w14:paraId="1FF86F6F" w14:textId="77777777" w:rsidR="001338DC" w:rsidRPr="001338DC" w:rsidRDefault="001338DC" w:rsidP="001338DC">
            <w:pPr>
              <w:overflowPunct/>
              <w:autoSpaceDE/>
              <w:autoSpaceDN/>
              <w:adjustRightInd/>
              <w:rPr>
                <w:rFonts w:ascii="Arial" w:hAnsi="Arial" w:cs="Arial"/>
                <w:color w:val="212121"/>
                <w:lang w:val="es-CO"/>
              </w:rPr>
            </w:pPr>
          </w:p>
        </w:tc>
        <w:tc>
          <w:tcPr>
            <w:tcW w:w="79" w:type="pct"/>
            <w:vAlign w:val="center"/>
            <w:hideMark/>
          </w:tcPr>
          <w:p w14:paraId="18D7B0AC" w14:textId="77777777" w:rsidR="001338DC" w:rsidRPr="001338DC" w:rsidRDefault="001338DC" w:rsidP="001338DC">
            <w:pPr>
              <w:overflowPunct/>
              <w:autoSpaceDE/>
              <w:autoSpaceDN/>
              <w:adjustRightInd/>
              <w:rPr>
                <w:rFonts w:ascii="Arial" w:hAnsi="Arial" w:cs="Arial"/>
                <w:lang w:val="es-CO"/>
              </w:rPr>
            </w:pPr>
          </w:p>
        </w:tc>
      </w:tr>
      <w:tr w:rsidR="00CA01F2" w:rsidRPr="001338DC" w14:paraId="75A63625" w14:textId="77777777" w:rsidTr="00CA01F2">
        <w:trPr>
          <w:trHeight w:val="20"/>
        </w:trPr>
        <w:tc>
          <w:tcPr>
            <w:tcW w:w="208" w:type="pct"/>
            <w:vMerge/>
            <w:tcBorders>
              <w:top w:val="single" w:sz="8" w:space="0" w:color="auto"/>
              <w:left w:val="single" w:sz="8" w:space="0" w:color="auto"/>
              <w:bottom w:val="single" w:sz="8" w:space="0" w:color="000000"/>
              <w:right w:val="single" w:sz="4" w:space="0" w:color="auto"/>
            </w:tcBorders>
            <w:vAlign w:val="center"/>
            <w:hideMark/>
          </w:tcPr>
          <w:p w14:paraId="3B9BDD5A"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left w:val="single" w:sz="4" w:space="0" w:color="auto"/>
              <w:bottom w:val="single" w:sz="4" w:space="0" w:color="auto"/>
              <w:right w:val="single" w:sz="4" w:space="0" w:color="auto"/>
            </w:tcBorders>
            <w:shd w:val="clear" w:color="000000" w:fill="FFFFFF"/>
            <w:vAlign w:val="center"/>
            <w:hideMark/>
          </w:tcPr>
          <w:p w14:paraId="658794E4"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 Página web del IDEP</w:t>
            </w:r>
          </w:p>
        </w:tc>
        <w:tc>
          <w:tcPr>
            <w:tcW w:w="1041" w:type="pct"/>
            <w:vMerge/>
            <w:tcBorders>
              <w:top w:val="nil"/>
              <w:left w:val="single" w:sz="4" w:space="0" w:color="auto"/>
              <w:bottom w:val="single" w:sz="8" w:space="0" w:color="000000"/>
              <w:right w:val="single" w:sz="8" w:space="0" w:color="000000"/>
            </w:tcBorders>
            <w:vAlign w:val="center"/>
            <w:hideMark/>
          </w:tcPr>
          <w:p w14:paraId="1D67EECF" w14:textId="77777777" w:rsidR="001338DC" w:rsidRPr="001338DC" w:rsidRDefault="001338DC" w:rsidP="001338DC">
            <w:pPr>
              <w:overflowPunct/>
              <w:autoSpaceDE/>
              <w:autoSpaceDN/>
              <w:adjustRightInd/>
              <w:rPr>
                <w:rFonts w:ascii="Arial" w:hAnsi="Arial" w:cs="Arial"/>
                <w:color w:val="212121"/>
                <w:lang w:val="es-CO"/>
              </w:rPr>
            </w:pPr>
          </w:p>
        </w:tc>
        <w:tc>
          <w:tcPr>
            <w:tcW w:w="879" w:type="pct"/>
            <w:vMerge/>
            <w:tcBorders>
              <w:top w:val="nil"/>
              <w:left w:val="single" w:sz="8" w:space="0" w:color="000000"/>
              <w:bottom w:val="single" w:sz="8" w:space="0" w:color="000000"/>
              <w:right w:val="single" w:sz="8" w:space="0" w:color="auto"/>
            </w:tcBorders>
            <w:vAlign w:val="center"/>
            <w:hideMark/>
          </w:tcPr>
          <w:p w14:paraId="374137F8" w14:textId="77777777" w:rsidR="001338DC" w:rsidRPr="001338DC" w:rsidRDefault="001338DC" w:rsidP="001338DC">
            <w:pPr>
              <w:overflowPunct/>
              <w:autoSpaceDE/>
              <w:autoSpaceDN/>
              <w:adjustRightInd/>
              <w:rPr>
                <w:rFonts w:ascii="Arial" w:hAnsi="Arial" w:cs="Arial"/>
                <w:color w:val="212121"/>
                <w:lang w:val="es-CO"/>
              </w:rPr>
            </w:pPr>
          </w:p>
        </w:tc>
        <w:tc>
          <w:tcPr>
            <w:tcW w:w="79" w:type="pct"/>
            <w:vAlign w:val="center"/>
            <w:hideMark/>
          </w:tcPr>
          <w:p w14:paraId="5C0CE47B" w14:textId="77777777" w:rsidR="001338DC" w:rsidRPr="001338DC" w:rsidRDefault="001338DC" w:rsidP="001338DC">
            <w:pPr>
              <w:overflowPunct/>
              <w:autoSpaceDE/>
              <w:autoSpaceDN/>
              <w:adjustRightInd/>
              <w:rPr>
                <w:rFonts w:ascii="Arial" w:hAnsi="Arial" w:cs="Arial"/>
                <w:lang w:val="es-CO"/>
              </w:rPr>
            </w:pPr>
          </w:p>
        </w:tc>
      </w:tr>
      <w:tr w:rsidR="001338DC" w:rsidRPr="001338DC" w14:paraId="278F6628" w14:textId="77777777" w:rsidTr="00CA01F2">
        <w:trPr>
          <w:trHeight w:val="20"/>
        </w:trPr>
        <w:tc>
          <w:tcPr>
            <w:tcW w:w="208" w:type="pct"/>
            <w:vMerge/>
            <w:tcBorders>
              <w:top w:val="single" w:sz="8" w:space="0" w:color="auto"/>
              <w:left w:val="single" w:sz="8" w:space="0" w:color="auto"/>
              <w:bottom w:val="single" w:sz="8" w:space="0" w:color="000000"/>
              <w:right w:val="single" w:sz="8" w:space="0" w:color="auto"/>
            </w:tcBorders>
            <w:vAlign w:val="center"/>
            <w:hideMark/>
          </w:tcPr>
          <w:p w14:paraId="04782620"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single" w:sz="4" w:space="0" w:color="auto"/>
              <w:left w:val="nil"/>
              <w:bottom w:val="single" w:sz="8" w:space="0" w:color="auto"/>
              <w:right w:val="single" w:sz="8" w:space="0" w:color="auto"/>
            </w:tcBorders>
            <w:shd w:val="clear" w:color="000000" w:fill="FFFFFF"/>
            <w:vAlign w:val="center"/>
            <w:hideMark/>
          </w:tcPr>
          <w:p w14:paraId="105B56B2"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Espacios generados por el Sector Educación</w:t>
            </w:r>
          </w:p>
        </w:tc>
        <w:tc>
          <w:tcPr>
            <w:tcW w:w="1041" w:type="pct"/>
            <w:tcBorders>
              <w:top w:val="nil"/>
              <w:left w:val="nil"/>
              <w:bottom w:val="single" w:sz="8" w:space="0" w:color="auto"/>
              <w:right w:val="single" w:sz="8" w:space="0" w:color="auto"/>
            </w:tcBorders>
            <w:shd w:val="clear" w:color="000000" w:fill="FFFFFF"/>
            <w:vAlign w:val="center"/>
            <w:hideMark/>
          </w:tcPr>
          <w:p w14:paraId="1B199F91"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Subdirección Académica</w:t>
            </w:r>
            <w:r w:rsidRPr="001338DC">
              <w:rPr>
                <w:rFonts w:ascii="Arial" w:eastAsia="Arial" w:hAnsi="Arial" w:cs="Arial"/>
                <w:color w:val="000000"/>
              </w:rPr>
              <w:br/>
              <w:t>Oficina Asesora Jurídica</w:t>
            </w:r>
            <w:r w:rsidRPr="001338DC">
              <w:rPr>
                <w:rFonts w:ascii="Arial" w:eastAsia="Arial" w:hAnsi="Arial" w:cs="Arial"/>
                <w:color w:val="000000"/>
              </w:rPr>
              <w:br/>
              <w:t>Oficina Asesora de Planeación</w:t>
            </w:r>
            <w:r w:rsidRPr="001338DC">
              <w:rPr>
                <w:rFonts w:ascii="Arial" w:eastAsia="Arial" w:hAnsi="Arial" w:cs="Arial"/>
                <w:color w:val="000000"/>
              </w:rPr>
              <w:br/>
              <w:t>Subdirección Financiera, Administrativa y Control Disciplinario</w:t>
            </w:r>
          </w:p>
        </w:tc>
        <w:tc>
          <w:tcPr>
            <w:tcW w:w="879" w:type="pct"/>
            <w:tcBorders>
              <w:top w:val="nil"/>
              <w:left w:val="nil"/>
              <w:bottom w:val="single" w:sz="8" w:space="0" w:color="auto"/>
              <w:right w:val="single" w:sz="8" w:space="0" w:color="auto"/>
            </w:tcBorders>
            <w:shd w:val="clear" w:color="000000" w:fill="FFFFFF"/>
            <w:vAlign w:val="center"/>
            <w:hideMark/>
          </w:tcPr>
          <w:p w14:paraId="410B3A4B"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Cada vez que la Secretaría de Educación Distrital genere espacios de participación</w:t>
            </w:r>
          </w:p>
        </w:tc>
        <w:tc>
          <w:tcPr>
            <w:tcW w:w="79" w:type="pct"/>
            <w:vAlign w:val="center"/>
            <w:hideMark/>
          </w:tcPr>
          <w:p w14:paraId="66C8270F" w14:textId="77777777" w:rsidR="001338DC" w:rsidRPr="001338DC" w:rsidRDefault="001338DC" w:rsidP="001338DC">
            <w:pPr>
              <w:overflowPunct/>
              <w:autoSpaceDE/>
              <w:autoSpaceDN/>
              <w:adjustRightInd/>
              <w:rPr>
                <w:rFonts w:ascii="Arial" w:hAnsi="Arial" w:cs="Arial"/>
                <w:lang w:val="es-CO"/>
              </w:rPr>
            </w:pPr>
          </w:p>
        </w:tc>
      </w:tr>
      <w:tr w:rsidR="001338DC" w:rsidRPr="001338DC" w14:paraId="3362194A" w14:textId="77777777" w:rsidTr="00CA01F2">
        <w:trPr>
          <w:trHeight w:val="20"/>
        </w:trPr>
        <w:tc>
          <w:tcPr>
            <w:tcW w:w="208" w:type="pct"/>
            <w:vMerge w:val="restart"/>
            <w:tcBorders>
              <w:top w:val="nil"/>
              <w:left w:val="single" w:sz="8" w:space="0" w:color="auto"/>
              <w:bottom w:val="single" w:sz="8" w:space="0" w:color="000000"/>
              <w:right w:val="single" w:sz="8" w:space="0" w:color="000000"/>
            </w:tcBorders>
            <w:shd w:val="clear" w:color="auto" w:fill="auto"/>
            <w:noWrap/>
            <w:textDirection w:val="btLr"/>
            <w:vAlign w:val="bottom"/>
            <w:hideMark/>
          </w:tcPr>
          <w:p w14:paraId="434EE219" w14:textId="77777777" w:rsidR="001338DC" w:rsidRPr="001338DC" w:rsidRDefault="001338DC" w:rsidP="001338DC">
            <w:pPr>
              <w:overflowPunct/>
              <w:autoSpaceDE/>
              <w:autoSpaceDN/>
              <w:adjustRightInd/>
              <w:jc w:val="center"/>
              <w:rPr>
                <w:rFonts w:ascii="Arial" w:hAnsi="Arial" w:cs="Arial"/>
                <w:color w:val="000000"/>
                <w:lang w:val="es-CO"/>
              </w:rPr>
            </w:pPr>
            <w:r w:rsidRPr="001338DC">
              <w:rPr>
                <w:rFonts w:ascii="Arial" w:hAnsi="Arial" w:cs="Arial"/>
                <w:color w:val="000000"/>
                <w:lang w:val="es-CO"/>
              </w:rPr>
              <w:t>Seguimiento y evaluación</w:t>
            </w:r>
          </w:p>
        </w:tc>
        <w:tc>
          <w:tcPr>
            <w:tcW w:w="2793" w:type="pct"/>
            <w:tcBorders>
              <w:top w:val="nil"/>
              <w:left w:val="nil"/>
              <w:bottom w:val="single" w:sz="8" w:space="0" w:color="auto"/>
              <w:right w:val="single" w:sz="8" w:space="0" w:color="000000"/>
            </w:tcBorders>
            <w:shd w:val="clear" w:color="000000" w:fill="FFFFFF"/>
            <w:vAlign w:val="center"/>
            <w:hideMark/>
          </w:tcPr>
          <w:p w14:paraId="4444C38E"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Elaborar, difundir el informe de rendición de cuentas en la página web de la entidad, foros, redes sociales con el fin de recibir observaciones y /o sugerencias de temas que la ciudadanía considere.</w:t>
            </w:r>
          </w:p>
        </w:tc>
        <w:tc>
          <w:tcPr>
            <w:tcW w:w="1041" w:type="pct"/>
            <w:tcBorders>
              <w:top w:val="nil"/>
              <w:left w:val="nil"/>
              <w:bottom w:val="single" w:sz="8" w:space="0" w:color="auto"/>
              <w:right w:val="single" w:sz="8" w:space="0" w:color="000000"/>
            </w:tcBorders>
            <w:shd w:val="clear" w:color="000000" w:fill="FFFFFF"/>
            <w:vAlign w:val="center"/>
            <w:hideMark/>
          </w:tcPr>
          <w:p w14:paraId="1D0EFCB3" w14:textId="49875FDF"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Oficina Asesora de Planeación</w:t>
            </w:r>
          </w:p>
        </w:tc>
        <w:tc>
          <w:tcPr>
            <w:tcW w:w="879" w:type="pct"/>
            <w:tcBorders>
              <w:top w:val="nil"/>
              <w:left w:val="nil"/>
              <w:bottom w:val="single" w:sz="8" w:space="0" w:color="auto"/>
              <w:right w:val="single" w:sz="8" w:space="0" w:color="auto"/>
            </w:tcBorders>
            <w:shd w:val="clear" w:color="000000" w:fill="FFFFFF"/>
            <w:vAlign w:val="center"/>
            <w:hideMark/>
          </w:tcPr>
          <w:p w14:paraId="630117E5"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eastAsia="Arial" w:hAnsi="Arial" w:cs="Arial"/>
                <w:color w:val="000000"/>
              </w:rPr>
              <w:t>Abril</w:t>
            </w:r>
            <w:r w:rsidRPr="001338DC">
              <w:rPr>
                <w:rFonts w:ascii="Arial" w:eastAsia="Arial" w:hAnsi="Arial" w:cs="Arial"/>
                <w:color w:val="000000"/>
              </w:rPr>
              <w:br/>
              <w:t>Diciembre</w:t>
            </w:r>
          </w:p>
        </w:tc>
        <w:tc>
          <w:tcPr>
            <w:tcW w:w="79" w:type="pct"/>
            <w:vAlign w:val="center"/>
            <w:hideMark/>
          </w:tcPr>
          <w:p w14:paraId="3BFEA739" w14:textId="77777777" w:rsidR="001338DC" w:rsidRPr="001338DC" w:rsidRDefault="001338DC" w:rsidP="001338DC">
            <w:pPr>
              <w:overflowPunct/>
              <w:autoSpaceDE/>
              <w:autoSpaceDN/>
              <w:adjustRightInd/>
              <w:rPr>
                <w:rFonts w:ascii="Arial" w:hAnsi="Arial" w:cs="Arial"/>
                <w:lang w:val="es-CO"/>
              </w:rPr>
            </w:pPr>
          </w:p>
        </w:tc>
      </w:tr>
      <w:tr w:rsidR="001338DC" w:rsidRPr="001338DC" w14:paraId="014DEF63" w14:textId="77777777" w:rsidTr="00CA01F2">
        <w:trPr>
          <w:trHeight w:val="20"/>
        </w:trPr>
        <w:tc>
          <w:tcPr>
            <w:tcW w:w="208" w:type="pct"/>
            <w:vMerge/>
            <w:tcBorders>
              <w:top w:val="nil"/>
              <w:left w:val="single" w:sz="8" w:space="0" w:color="auto"/>
              <w:bottom w:val="single" w:sz="8" w:space="0" w:color="000000"/>
              <w:right w:val="single" w:sz="8" w:space="0" w:color="000000"/>
            </w:tcBorders>
            <w:vAlign w:val="center"/>
            <w:hideMark/>
          </w:tcPr>
          <w:p w14:paraId="5570EEB8"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nil"/>
              <w:left w:val="nil"/>
              <w:bottom w:val="single" w:sz="8" w:space="0" w:color="auto"/>
              <w:right w:val="single" w:sz="8" w:space="0" w:color="000000"/>
            </w:tcBorders>
            <w:shd w:val="clear" w:color="000000" w:fill="FFFFFF"/>
            <w:vAlign w:val="center"/>
            <w:hideMark/>
          </w:tcPr>
          <w:p w14:paraId="6882E394"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Realizar tres (3) encuestas de percepción en los eventos de rendición de cuentas definidos por el IDEP</w:t>
            </w:r>
          </w:p>
        </w:tc>
        <w:tc>
          <w:tcPr>
            <w:tcW w:w="1041" w:type="pct"/>
            <w:tcBorders>
              <w:top w:val="nil"/>
              <w:left w:val="nil"/>
              <w:bottom w:val="single" w:sz="8" w:space="0" w:color="auto"/>
              <w:right w:val="single" w:sz="8" w:space="0" w:color="000000"/>
            </w:tcBorders>
            <w:shd w:val="clear" w:color="000000" w:fill="FFFFFF"/>
            <w:vAlign w:val="center"/>
            <w:hideMark/>
          </w:tcPr>
          <w:p w14:paraId="0061A3B3"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Subdirección Académica - Oficina Asesora de Planeación</w:t>
            </w:r>
          </w:p>
        </w:tc>
        <w:tc>
          <w:tcPr>
            <w:tcW w:w="879" w:type="pct"/>
            <w:tcBorders>
              <w:top w:val="nil"/>
              <w:left w:val="nil"/>
              <w:bottom w:val="single" w:sz="8" w:space="0" w:color="auto"/>
              <w:right w:val="single" w:sz="8" w:space="0" w:color="auto"/>
            </w:tcBorders>
            <w:shd w:val="clear" w:color="000000" w:fill="FFFFFF"/>
            <w:vAlign w:val="center"/>
            <w:hideMark/>
          </w:tcPr>
          <w:p w14:paraId="3CD1B1F7"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Marzo a Septiembre</w:t>
            </w:r>
          </w:p>
        </w:tc>
        <w:tc>
          <w:tcPr>
            <w:tcW w:w="79" w:type="pct"/>
            <w:vAlign w:val="center"/>
            <w:hideMark/>
          </w:tcPr>
          <w:p w14:paraId="53A52374" w14:textId="77777777" w:rsidR="001338DC" w:rsidRPr="001338DC" w:rsidRDefault="001338DC" w:rsidP="001338DC">
            <w:pPr>
              <w:overflowPunct/>
              <w:autoSpaceDE/>
              <w:autoSpaceDN/>
              <w:adjustRightInd/>
              <w:rPr>
                <w:rFonts w:ascii="Arial" w:hAnsi="Arial" w:cs="Arial"/>
                <w:lang w:val="es-CO"/>
              </w:rPr>
            </w:pPr>
          </w:p>
        </w:tc>
      </w:tr>
      <w:tr w:rsidR="001338DC" w:rsidRPr="001338DC" w14:paraId="3FC3F76A" w14:textId="77777777" w:rsidTr="00CA01F2">
        <w:trPr>
          <w:trHeight w:val="20"/>
        </w:trPr>
        <w:tc>
          <w:tcPr>
            <w:tcW w:w="208" w:type="pct"/>
            <w:vMerge/>
            <w:tcBorders>
              <w:top w:val="nil"/>
              <w:left w:val="single" w:sz="8" w:space="0" w:color="auto"/>
              <w:bottom w:val="single" w:sz="8" w:space="0" w:color="000000"/>
              <w:right w:val="single" w:sz="8" w:space="0" w:color="000000"/>
            </w:tcBorders>
            <w:vAlign w:val="center"/>
            <w:hideMark/>
          </w:tcPr>
          <w:p w14:paraId="25E55F11"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nil"/>
              <w:left w:val="nil"/>
              <w:bottom w:val="single" w:sz="8" w:space="0" w:color="auto"/>
              <w:right w:val="single" w:sz="8" w:space="0" w:color="000000"/>
            </w:tcBorders>
            <w:shd w:val="clear" w:color="000000" w:fill="FFFFFF"/>
            <w:vAlign w:val="center"/>
            <w:hideMark/>
          </w:tcPr>
          <w:p w14:paraId="6B7CC832"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Seguimiento a la implementación del Plan de Participación Ciudadana del IDEP</w:t>
            </w:r>
          </w:p>
        </w:tc>
        <w:tc>
          <w:tcPr>
            <w:tcW w:w="1041" w:type="pct"/>
            <w:tcBorders>
              <w:top w:val="nil"/>
              <w:left w:val="nil"/>
              <w:bottom w:val="single" w:sz="8" w:space="0" w:color="auto"/>
              <w:right w:val="single" w:sz="8" w:space="0" w:color="000000"/>
            </w:tcBorders>
            <w:shd w:val="clear" w:color="000000" w:fill="FFFFFF"/>
            <w:vAlign w:val="center"/>
            <w:hideMark/>
          </w:tcPr>
          <w:p w14:paraId="2D191446"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Oficina asesora de Planeación</w:t>
            </w:r>
          </w:p>
        </w:tc>
        <w:tc>
          <w:tcPr>
            <w:tcW w:w="879" w:type="pct"/>
            <w:tcBorders>
              <w:top w:val="nil"/>
              <w:left w:val="nil"/>
              <w:bottom w:val="single" w:sz="8" w:space="0" w:color="auto"/>
              <w:right w:val="single" w:sz="8" w:space="0" w:color="auto"/>
            </w:tcBorders>
            <w:shd w:val="clear" w:color="000000" w:fill="FFFFFF"/>
            <w:vAlign w:val="center"/>
            <w:hideMark/>
          </w:tcPr>
          <w:p w14:paraId="362B8517"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Abril a octubre</w:t>
            </w:r>
          </w:p>
        </w:tc>
        <w:tc>
          <w:tcPr>
            <w:tcW w:w="79" w:type="pct"/>
            <w:vAlign w:val="center"/>
            <w:hideMark/>
          </w:tcPr>
          <w:p w14:paraId="3E9D9E05" w14:textId="77777777" w:rsidR="001338DC" w:rsidRPr="001338DC" w:rsidRDefault="001338DC" w:rsidP="001338DC">
            <w:pPr>
              <w:overflowPunct/>
              <w:autoSpaceDE/>
              <w:autoSpaceDN/>
              <w:adjustRightInd/>
              <w:rPr>
                <w:rFonts w:ascii="Arial" w:hAnsi="Arial" w:cs="Arial"/>
                <w:lang w:val="es-CO"/>
              </w:rPr>
            </w:pPr>
          </w:p>
        </w:tc>
      </w:tr>
      <w:tr w:rsidR="001338DC" w:rsidRPr="001338DC" w14:paraId="750CEEA9" w14:textId="77777777" w:rsidTr="00CA01F2">
        <w:trPr>
          <w:trHeight w:val="20"/>
        </w:trPr>
        <w:tc>
          <w:tcPr>
            <w:tcW w:w="208" w:type="pct"/>
            <w:vMerge/>
            <w:tcBorders>
              <w:top w:val="nil"/>
              <w:left w:val="single" w:sz="8" w:space="0" w:color="auto"/>
              <w:bottom w:val="single" w:sz="8" w:space="0" w:color="000000"/>
              <w:right w:val="single" w:sz="8" w:space="0" w:color="000000"/>
            </w:tcBorders>
            <w:vAlign w:val="center"/>
            <w:hideMark/>
          </w:tcPr>
          <w:p w14:paraId="5BF76FED" w14:textId="77777777" w:rsidR="001338DC" w:rsidRPr="001338DC" w:rsidRDefault="001338DC" w:rsidP="001338DC">
            <w:pPr>
              <w:overflowPunct/>
              <w:autoSpaceDE/>
              <w:autoSpaceDN/>
              <w:adjustRightInd/>
              <w:rPr>
                <w:rFonts w:ascii="Arial" w:hAnsi="Arial" w:cs="Arial"/>
                <w:color w:val="000000"/>
                <w:lang w:val="es-CO"/>
              </w:rPr>
            </w:pPr>
          </w:p>
        </w:tc>
        <w:tc>
          <w:tcPr>
            <w:tcW w:w="2793" w:type="pct"/>
            <w:tcBorders>
              <w:top w:val="nil"/>
              <w:left w:val="nil"/>
              <w:bottom w:val="single" w:sz="8" w:space="0" w:color="auto"/>
              <w:right w:val="single" w:sz="8" w:space="0" w:color="000000"/>
            </w:tcBorders>
            <w:shd w:val="clear" w:color="000000" w:fill="FFFFFF"/>
            <w:vAlign w:val="center"/>
            <w:hideMark/>
          </w:tcPr>
          <w:p w14:paraId="3E8DCFCF"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Seguimiento de la estrategia de Rendición de Cuentas</w:t>
            </w:r>
          </w:p>
        </w:tc>
        <w:tc>
          <w:tcPr>
            <w:tcW w:w="1041" w:type="pct"/>
            <w:tcBorders>
              <w:top w:val="nil"/>
              <w:left w:val="nil"/>
              <w:bottom w:val="single" w:sz="8" w:space="0" w:color="auto"/>
              <w:right w:val="single" w:sz="8" w:space="0" w:color="000000"/>
            </w:tcBorders>
            <w:shd w:val="clear" w:color="000000" w:fill="FFFFFF"/>
            <w:vAlign w:val="center"/>
            <w:hideMark/>
          </w:tcPr>
          <w:p w14:paraId="616A0393"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Oficina asesora de Planeación</w:t>
            </w:r>
          </w:p>
        </w:tc>
        <w:tc>
          <w:tcPr>
            <w:tcW w:w="879" w:type="pct"/>
            <w:tcBorders>
              <w:top w:val="nil"/>
              <w:left w:val="nil"/>
              <w:bottom w:val="single" w:sz="8" w:space="0" w:color="auto"/>
              <w:right w:val="single" w:sz="8" w:space="0" w:color="auto"/>
            </w:tcBorders>
            <w:shd w:val="clear" w:color="000000" w:fill="FFFFFF"/>
            <w:vAlign w:val="center"/>
            <w:hideMark/>
          </w:tcPr>
          <w:p w14:paraId="3B181444" w14:textId="77777777" w:rsidR="001338DC" w:rsidRPr="001338DC" w:rsidRDefault="001338DC" w:rsidP="001338DC">
            <w:pPr>
              <w:overflowPunct/>
              <w:autoSpaceDE/>
              <w:autoSpaceDN/>
              <w:adjustRightInd/>
              <w:jc w:val="both"/>
              <w:rPr>
                <w:rFonts w:ascii="Arial" w:hAnsi="Arial" w:cs="Arial"/>
                <w:color w:val="000000"/>
                <w:lang w:val="es-CO"/>
              </w:rPr>
            </w:pPr>
            <w:r w:rsidRPr="001338DC">
              <w:rPr>
                <w:rFonts w:ascii="Arial" w:hAnsi="Arial" w:cs="Arial"/>
                <w:color w:val="000000"/>
                <w:lang w:val="es-CO"/>
              </w:rPr>
              <w:t>Abril a octubre</w:t>
            </w:r>
          </w:p>
        </w:tc>
        <w:tc>
          <w:tcPr>
            <w:tcW w:w="79" w:type="pct"/>
            <w:vAlign w:val="center"/>
            <w:hideMark/>
          </w:tcPr>
          <w:p w14:paraId="25CE43D4" w14:textId="77777777" w:rsidR="001338DC" w:rsidRPr="001338DC" w:rsidRDefault="001338DC" w:rsidP="001338DC">
            <w:pPr>
              <w:overflowPunct/>
              <w:autoSpaceDE/>
              <w:autoSpaceDN/>
              <w:adjustRightInd/>
              <w:rPr>
                <w:rFonts w:ascii="Arial" w:hAnsi="Arial" w:cs="Arial"/>
                <w:lang w:val="es-CO"/>
              </w:rPr>
            </w:pPr>
          </w:p>
        </w:tc>
      </w:tr>
    </w:tbl>
    <w:p w14:paraId="380397FB" w14:textId="77777777" w:rsidR="00327289" w:rsidRDefault="00327289">
      <w:pPr>
        <w:pBdr>
          <w:top w:val="nil"/>
          <w:left w:val="nil"/>
          <w:bottom w:val="nil"/>
          <w:right w:val="nil"/>
          <w:between w:val="nil"/>
        </w:pBdr>
        <w:rPr>
          <w:rFonts w:ascii="Arial" w:eastAsia="Arial" w:hAnsi="Arial" w:cs="Arial"/>
          <w:color w:val="000000"/>
          <w:sz w:val="22"/>
          <w:szCs w:val="22"/>
        </w:rPr>
      </w:pPr>
    </w:p>
    <w:sectPr w:rsidR="00327289">
      <w:headerReference w:type="default" r:id="rId18"/>
      <w:footerReference w:type="default" r:id="rId19"/>
      <w:pgSz w:w="12240" w:h="15840"/>
      <w:pgMar w:top="1418" w:right="1325" w:bottom="1701" w:left="1701" w:header="561"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9513" w14:textId="77777777" w:rsidR="005C5288" w:rsidRDefault="005C5288">
      <w:r>
        <w:separator/>
      </w:r>
    </w:p>
  </w:endnote>
  <w:endnote w:type="continuationSeparator" w:id="0">
    <w:p w14:paraId="635AA0C5" w14:textId="77777777" w:rsidR="005C5288" w:rsidRDefault="005C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0EDD" w14:textId="77777777" w:rsidR="00327289" w:rsidRDefault="006227DC">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r>
      <w:rPr>
        <w:color w:val="000000"/>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06F32">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BF1F0D3" w14:textId="77777777" w:rsidR="00327289" w:rsidRDefault="00327289">
    <w:pPr>
      <w:widowControl w:val="0"/>
      <w:pBdr>
        <w:top w:val="nil"/>
        <w:left w:val="nil"/>
        <w:bottom w:val="nil"/>
        <w:right w:val="nil"/>
        <w:between w:val="nil"/>
      </w:pBdr>
      <w:spacing w:line="276" w:lineRule="auto"/>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BCE5" w14:textId="77777777" w:rsidR="005C5288" w:rsidRDefault="005C5288">
      <w:r>
        <w:separator/>
      </w:r>
    </w:p>
  </w:footnote>
  <w:footnote w:type="continuationSeparator" w:id="0">
    <w:p w14:paraId="2BF4D91E" w14:textId="77777777" w:rsidR="005C5288" w:rsidRDefault="005C5288">
      <w:r>
        <w:continuationSeparator/>
      </w:r>
    </w:p>
  </w:footnote>
  <w:footnote w:id="1">
    <w:p w14:paraId="40F20BDD" w14:textId="77777777" w:rsidR="00327289" w:rsidRDefault="006227DC">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En la medición del índice de Desempeño Institucional (</w:t>
      </w:r>
      <w:r>
        <w:rPr>
          <w:rFonts w:ascii="Arial" w:eastAsia="Arial" w:hAnsi="Arial" w:cs="Arial"/>
        </w:rPr>
        <w:t>vigencia 2019</w:t>
      </w:r>
      <w:r>
        <w:rPr>
          <w:rFonts w:ascii="Arial" w:eastAsia="Arial" w:hAnsi="Arial" w:cs="Arial"/>
          <w:color w:val="000000"/>
        </w:rPr>
        <w:t xml:space="preserve">), la Política de Participación Ciudadana en la Gestión Pública obtuvo un puntaje de 86.7 y el Índice 56 de Rendición de Cuentas en la Gestión Pública inmerso en la política tuvo un puntaje de 86.2.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7569" w14:textId="77777777" w:rsidR="00327289" w:rsidRDefault="00327289">
    <w:pPr>
      <w:widowControl w:val="0"/>
      <w:pBdr>
        <w:top w:val="nil"/>
        <w:left w:val="nil"/>
        <w:bottom w:val="nil"/>
        <w:right w:val="nil"/>
        <w:between w:val="nil"/>
      </w:pBdr>
      <w:spacing w:line="276" w:lineRule="auto"/>
      <w:rPr>
        <w:rFonts w:ascii="Arial" w:eastAsia="Arial" w:hAnsi="Arial" w:cs="Arial"/>
        <w:color w:val="000000"/>
      </w:rPr>
    </w:pPr>
  </w:p>
  <w:tbl>
    <w:tblPr>
      <w:tblStyle w:val="a4"/>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3876"/>
      <w:gridCol w:w="3260"/>
    </w:tblGrid>
    <w:tr w:rsidR="00327289" w14:paraId="16BBCFFB" w14:textId="77777777">
      <w:trPr>
        <w:trHeight w:val="479"/>
      </w:trPr>
      <w:tc>
        <w:tcPr>
          <w:tcW w:w="2328" w:type="dxa"/>
          <w:vMerge w:val="restart"/>
          <w:shd w:val="clear" w:color="auto" w:fill="auto"/>
        </w:tcPr>
        <w:p w14:paraId="12520B5F" w14:textId="77777777" w:rsidR="00327289" w:rsidRDefault="006227DC">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Pr>
              <w:noProof/>
              <w:lang w:val="es-CO"/>
            </w:rPr>
            <w:drawing>
              <wp:anchor distT="0" distB="0" distL="114300" distR="114300" simplePos="0" relativeHeight="251658240" behindDoc="0" locked="0" layoutInCell="1" hidden="0" allowOverlap="1" wp14:anchorId="57C20318" wp14:editId="48FD855D">
                <wp:simplePos x="0" y="0"/>
                <wp:positionH relativeFrom="column">
                  <wp:posOffset>43816</wp:posOffset>
                </wp:positionH>
                <wp:positionV relativeFrom="paragraph">
                  <wp:posOffset>139700</wp:posOffset>
                </wp:positionV>
                <wp:extent cx="1263650" cy="927735"/>
                <wp:effectExtent l="0" t="0" r="0" b="0"/>
                <wp:wrapSquare wrapText="bothSides" distT="0" distB="0" distL="114300" distR="114300"/>
                <wp:docPr id="25" name="image1.png" descr="Descripción: Escudo IDEP.png"/>
                <wp:cNvGraphicFramePr/>
                <a:graphic xmlns:a="http://schemas.openxmlformats.org/drawingml/2006/main">
                  <a:graphicData uri="http://schemas.openxmlformats.org/drawingml/2006/picture">
                    <pic:pic xmlns:pic="http://schemas.openxmlformats.org/drawingml/2006/picture">
                      <pic:nvPicPr>
                        <pic:cNvPr id="0" name="image1.png" descr="Descripción: Escudo IDEP.png"/>
                        <pic:cNvPicPr preferRelativeResize="0"/>
                      </pic:nvPicPr>
                      <pic:blipFill>
                        <a:blip r:embed="rId1"/>
                        <a:srcRect/>
                        <a:stretch>
                          <a:fillRect/>
                        </a:stretch>
                      </pic:blipFill>
                      <pic:spPr>
                        <a:xfrm>
                          <a:off x="0" y="0"/>
                          <a:ext cx="1263650" cy="927735"/>
                        </a:xfrm>
                        <a:prstGeom prst="rect">
                          <a:avLst/>
                        </a:prstGeom>
                        <a:ln/>
                      </pic:spPr>
                    </pic:pic>
                  </a:graphicData>
                </a:graphic>
              </wp:anchor>
            </w:drawing>
          </w:r>
        </w:p>
      </w:tc>
      <w:tc>
        <w:tcPr>
          <w:tcW w:w="3876" w:type="dxa"/>
          <w:vMerge w:val="restart"/>
          <w:shd w:val="clear" w:color="auto" w:fill="auto"/>
          <w:vAlign w:val="center"/>
        </w:tcPr>
        <w:p w14:paraId="708B0743" w14:textId="77777777" w:rsidR="00327289" w:rsidRDefault="00327289">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p>
        <w:p w14:paraId="20A287AF" w14:textId="77777777" w:rsidR="00327289" w:rsidRDefault="006227DC">
          <w:pPr>
            <w:pBdr>
              <w:top w:val="nil"/>
              <w:left w:val="nil"/>
              <w:bottom w:val="nil"/>
              <w:right w:val="nil"/>
              <w:between w:val="nil"/>
            </w:pBdr>
            <w:spacing w:after="200" w:line="276" w:lineRule="auto"/>
            <w:jc w:val="center"/>
            <w:rPr>
              <w:rFonts w:ascii="Calibri" w:eastAsia="Calibri" w:hAnsi="Calibri" w:cs="Calibri"/>
              <w:b/>
              <w:color w:val="000000"/>
              <w:sz w:val="24"/>
              <w:szCs w:val="24"/>
            </w:rPr>
          </w:pPr>
          <w:r>
            <w:rPr>
              <w:rFonts w:ascii="Arial" w:eastAsia="Arial" w:hAnsi="Arial" w:cs="Arial"/>
              <w:b/>
              <w:color w:val="000000"/>
              <w:sz w:val="24"/>
              <w:szCs w:val="24"/>
            </w:rPr>
            <w:t>DOCUMENTO ESTRATEGIA DE RENDICIÓN DE CUENTAS</w:t>
          </w:r>
        </w:p>
      </w:tc>
      <w:tc>
        <w:tcPr>
          <w:tcW w:w="3260" w:type="dxa"/>
          <w:shd w:val="clear" w:color="auto" w:fill="auto"/>
          <w:vAlign w:val="center"/>
        </w:tcPr>
        <w:p w14:paraId="163BFF3F" w14:textId="77777777" w:rsidR="00327289" w:rsidRDefault="006227DC">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 xml:space="preserve">Código: </w:t>
          </w:r>
          <w:r>
            <w:rPr>
              <w:rFonts w:ascii="Arial" w:eastAsia="Arial" w:hAnsi="Arial" w:cs="Arial"/>
              <w:color w:val="000000"/>
            </w:rPr>
            <w:t>DOC-AC-10-02</w:t>
          </w:r>
        </w:p>
      </w:tc>
    </w:tr>
    <w:tr w:rsidR="00327289" w14:paraId="09393C10" w14:textId="77777777">
      <w:trPr>
        <w:trHeight w:val="479"/>
      </w:trPr>
      <w:tc>
        <w:tcPr>
          <w:tcW w:w="2328" w:type="dxa"/>
          <w:vMerge/>
          <w:shd w:val="clear" w:color="auto" w:fill="auto"/>
        </w:tcPr>
        <w:p w14:paraId="3E269D96" w14:textId="77777777" w:rsidR="00327289" w:rsidRDefault="00327289">
          <w:pPr>
            <w:widowControl w:val="0"/>
            <w:pBdr>
              <w:top w:val="nil"/>
              <w:left w:val="nil"/>
              <w:bottom w:val="nil"/>
              <w:right w:val="nil"/>
              <w:between w:val="nil"/>
            </w:pBdr>
            <w:spacing w:line="276" w:lineRule="auto"/>
            <w:rPr>
              <w:rFonts w:ascii="Arial" w:eastAsia="Arial" w:hAnsi="Arial" w:cs="Arial"/>
              <w:color w:val="000000"/>
            </w:rPr>
          </w:pPr>
        </w:p>
      </w:tc>
      <w:tc>
        <w:tcPr>
          <w:tcW w:w="3876" w:type="dxa"/>
          <w:vMerge/>
          <w:shd w:val="clear" w:color="auto" w:fill="auto"/>
          <w:vAlign w:val="center"/>
        </w:tcPr>
        <w:p w14:paraId="6A784F51" w14:textId="77777777" w:rsidR="00327289" w:rsidRDefault="00327289">
          <w:pPr>
            <w:widowControl w:val="0"/>
            <w:pBdr>
              <w:top w:val="nil"/>
              <w:left w:val="nil"/>
              <w:bottom w:val="nil"/>
              <w:right w:val="nil"/>
              <w:between w:val="nil"/>
            </w:pBdr>
            <w:spacing w:line="276" w:lineRule="auto"/>
            <w:rPr>
              <w:rFonts w:ascii="Arial" w:eastAsia="Arial" w:hAnsi="Arial" w:cs="Arial"/>
              <w:color w:val="000000"/>
            </w:rPr>
          </w:pPr>
        </w:p>
      </w:tc>
      <w:tc>
        <w:tcPr>
          <w:tcW w:w="3260" w:type="dxa"/>
          <w:shd w:val="clear" w:color="auto" w:fill="auto"/>
          <w:vAlign w:val="center"/>
        </w:tcPr>
        <w:p w14:paraId="2487CFBD" w14:textId="1948B91E" w:rsidR="00327289" w:rsidRDefault="006227DC">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Versión:</w:t>
          </w:r>
          <w:r>
            <w:rPr>
              <w:rFonts w:ascii="Arial" w:eastAsia="Arial" w:hAnsi="Arial" w:cs="Arial"/>
              <w:color w:val="000000"/>
            </w:rPr>
            <w:t xml:space="preserve"> </w:t>
          </w:r>
          <w:r w:rsidR="00CA01F2">
            <w:rPr>
              <w:rFonts w:ascii="Arial" w:eastAsia="Arial" w:hAnsi="Arial" w:cs="Arial"/>
              <w:color w:val="000000"/>
            </w:rPr>
            <w:t>8</w:t>
          </w:r>
        </w:p>
      </w:tc>
    </w:tr>
    <w:tr w:rsidR="00327289" w14:paraId="2E69D8BD" w14:textId="77777777">
      <w:trPr>
        <w:trHeight w:val="479"/>
      </w:trPr>
      <w:tc>
        <w:tcPr>
          <w:tcW w:w="2328" w:type="dxa"/>
          <w:vMerge/>
          <w:shd w:val="clear" w:color="auto" w:fill="auto"/>
        </w:tcPr>
        <w:p w14:paraId="73C1E057" w14:textId="77777777" w:rsidR="00327289" w:rsidRDefault="00327289">
          <w:pPr>
            <w:widowControl w:val="0"/>
            <w:pBdr>
              <w:top w:val="nil"/>
              <w:left w:val="nil"/>
              <w:bottom w:val="nil"/>
              <w:right w:val="nil"/>
              <w:between w:val="nil"/>
            </w:pBdr>
            <w:spacing w:line="276" w:lineRule="auto"/>
            <w:rPr>
              <w:rFonts w:ascii="Arial" w:eastAsia="Arial" w:hAnsi="Arial" w:cs="Arial"/>
              <w:color w:val="000000"/>
            </w:rPr>
          </w:pPr>
        </w:p>
      </w:tc>
      <w:tc>
        <w:tcPr>
          <w:tcW w:w="3876" w:type="dxa"/>
          <w:vMerge/>
          <w:shd w:val="clear" w:color="auto" w:fill="auto"/>
          <w:vAlign w:val="center"/>
        </w:tcPr>
        <w:p w14:paraId="6FC86216" w14:textId="77777777" w:rsidR="00327289" w:rsidRDefault="00327289">
          <w:pPr>
            <w:widowControl w:val="0"/>
            <w:pBdr>
              <w:top w:val="nil"/>
              <w:left w:val="nil"/>
              <w:bottom w:val="nil"/>
              <w:right w:val="nil"/>
              <w:between w:val="nil"/>
            </w:pBdr>
            <w:spacing w:line="276" w:lineRule="auto"/>
            <w:rPr>
              <w:rFonts w:ascii="Arial" w:eastAsia="Arial" w:hAnsi="Arial" w:cs="Arial"/>
              <w:color w:val="000000"/>
            </w:rPr>
          </w:pPr>
        </w:p>
      </w:tc>
      <w:tc>
        <w:tcPr>
          <w:tcW w:w="3260" w:type="dxa"/>
          <w:shd w:val="clear" w:color="auto" w:fill="auto"/>
          <w:vAlign w:val="center"/>
        </w:tcPr>
        <w:p w14:paraId="7567E930" w14:textId="10A5B26E" w:rsidR="00327289" w:rsidRDefault="006227DC">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Fecha Aprobación: </w:t>
          </w:r>
          <w:r w:rsidR="00CA01F2">
            <w:rPr>
              <w:rFonts w:ascii="Arial" w:eastAsia="Arial" w:hAnsi="Arial" w:cs="Arial"/>
              <w:color w:val="000000"/>
            </w:rPr>
            <w:t>29/07/2021</w:t>
          </w:r>
        </w:p>
      </w:tc>
    </w:tr>
    <w:tr w:rsidR="00327289" w14:paraId="5D7C651F" w14:textId="77777777">
      <w:trPr>
        <w:trHeight w:val="479"/>
      </w:trPr>
      <w:tc>
        <w:tcPr>
          <w:tcW w:w="2328" w:type="dxa"/>
          <w:vMerge/>
          <w:shd w:val="clear" w:color="auto" w:fill="auto"/>
        </w:tcPr>
        <w:p w14:paraId="2DAC9FB5" w14:textId="77777777" w:rsidR="00327289" w:rsidRDefault="00327289">
          <w:pPr>
            <w:widowControl w:val="0"/>
            <w:pBdr>
              <w:top w:val="nil"/>
              <w:left w:val="nil"/>
              <w:bottom w:val="nil"/>
              <w:right w:val="nil"/>
              <w:between w:val="nil"/>
            </w:pBdr>
            <w:spacing w:line="276" w:lineRule="auto"/>
            <w:rPr>
              <w:rFonts w:ascii="Arial" w:eastAsia="Arial" w:hAnsi="Arial" w:cs="Arial"/>
              <w:b/>
              <w:color w:val="000000"/>
            </w:rPr>
          </w:pPr>
        </w:p>
      </w:tc>
      <w:tc>
        <w:tcPr>
          <w:tcW w:w="3876" w:type="dxa"/>
          <w:vMerge/>
          <w:shd w:val="clear" w:color="auto" w:fill="auto"/>
          <w:vAlign w:val="center"/>
        </w:tcPr>
        <w:p w14:paraId="52779C73" w14:textId="77777777" w:rsidR="00327289" w:rsidRDefault="00327289">
          <w:pPr>
            <w:widowControl w:val="0"/>
            <w:pBdr>
              <w:top w:val="nil"/>
              <w:left w:val="nil"/>
              <w:bottom w:val="nil"/>
              <w:right w:val="nil"/>
              <w:between w:val="nil"/>
            </w:pBdr>
            <w:spacing w:line="276" w:lineRule="auto"/>
            <w:rPr>
              <w:rFonts w:ascii="Arial" w:eastAsia="Arial" w:hAnsi="Arial" w:cs="Arial"/>
              <w:b/>
              <w:color w:val="000000"/>
            </w:rPr>
          </w:pPr>
        </w:p>
      </w:tc>
      <w:tc>
        <w:tcPr>
          <w:tcW w:w="3260" w:type="dxa"/>
          <w:shd w:val="clear" w:color="auto" w:fill="auto"/>
          <w:vAlign w:val="center"/>
        </w:tcPr>
        <w:p w14:paraId="51B9BC5F" w14:textId="77777777" w:rsidR="00327289" w:rsidRDefault="006227DC">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 xml:space="preserve">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406F32">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b/>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406F32">
            <w:rPr>
              <w:rFonts w:ascii="Arial" w:eastAsia="Arial" w:hAnsi="Arial" w:cs="Arial"/>
              <w:b/>
              <w:noProof/>
              <w:color w:val="000000"/>
            </w:rPr>
            <w:t>18</w:t>
          </w:r>
          <w:r>
            <w:rPr>
              <w:rFonts w:ascii="Arial" w:eastAsia="Arial" w:hAnsi="Arial" w:cs="Arial"/>
              <w:b/>
              <w:color w:val="000000"/>
            </w:rPr>
            <w:fldChar w:fldCharType="end"/>
          </w:r>
        </w:p>
      </w:tc>
    </w:tr>
  </w:tbl>
  <w:p w14:paraId="08404396" w14:textId="77777777" w:rsidR="00327289" w:rsidRDefault="00327289">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4B6C"/>
    <w:multiLevelType w:val="multilevel"/>
    <w:tmpl w:val="8048BF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425D1"/>
    <w:multiLevelType w:val="multilevel"/>
    <w:tmpl w:val="F3DA9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923A4"/>
    <w:multiLevelType w:val="multilevel"/>
    <w:tmpl w:val="F6CEEC5C"/>
    <w:lvl w:ilvl="0">
      <w:start w:val="3"/>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63A4987"/>
    <w:multiLevelType w:val="multilevel"/>
    <w:tmpl w:val="23FE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7A3038"/>
    <w:multiLevelType w:val="multilevel"/>
    <w:tmpl w:val="129C4416"/>
    <w:lvl w:ilvl="0">
      <w:start w:val="1"/>
      <w:numFmt w:val="decimal"/>
      <w:lvlText w:val="%1"/>
      <w:lvlJc w:val="left"/>
      <w:pPr>
        <w:ind w:left="435" w:hanging="435"/>
      </w:pPr>
    </w:lvl>
    <w:lvl w:ilvl="1">
      <w:start w:val="1"/>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4AFD20DA"/>
    <w:multiLevelType w:val="multilevel"/>
    <w:tmpl w:val="004A5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A700FC"/>
    <w:multiLevelType w:val="multilevel"/>
    <w:tmpl w:val="F5D81D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6048FF"/>
    <w:multiLevelType w:val="multilevel"/>
    <w:tmpl w:val="322C46B4"/>
    <w:lvl w:ilvl="0">
      <w:start w:val="1"/>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723770D5"/>
    <w:multiLevelType w:val="multilevel"/>
    <w:tmpl w:val="BDC6F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1"/>
  </w:num>
  <w:num w:numId="4">
    <w:abstractNumId w:val="6"/>
  </w:num>
  <w:num w:numId="5">
    <w:abstractNumId w:val="0"/>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89"/>
    <w:rsid w:val="00056CF7"/>
    <w:rsid w:val="001338DC"/>
    <w:rsid w:val="001A1CF0"/>
    <w:rsid w:val="002254EC"/>
    <w:rsid w:val="00301DFD"/>
    <w:rsid w:val="00317280"/>
    <w:rsid w:val="00327289"/>
    <w:rsid w:val="00372C75"/>
    <w:rsid w:val="00406F32"/>
    <w:rsid w:val="004576E9"/>
    <w:rsid w:val="0049509C"/>
    <w:rsid w:val="004B63F8"/>
    <w:rsid w:val="00580831"/>
    <w:rsid w:val="005C5288"/>
    <w:rsid w:val="006227DC"/>
    <w:rsid w:val="0062488C"/>
    <w:rsid w:val="0064641E"/>
    <w:rsid w:val="0068175D"/>
    <w:rsid w:val="00686661"/>
    <w:rsid w:val="006D247C"/>
    <w:rsid w:val="006D307C"/>
    <w:rsid w:val="006F59FB"/>
    <w:rsid w:val="00725480"/>
    <w:rsid w:val="007A3C7C"/>
    <w:rsid w:val="007F5B7C"/>
    <w:rsid w:val="008E1D73"/>
    <w:rsid w:val="00906FD2"/>
    <w:rsid w:val="009726CF"/>
    <w:rsid w:val="009C2186"/>
    <w:rsid w:val="00B51537"/>
    <w:rsid w:val="00B74CA5"/>
    <w:rsid w:val="00BE36FA"/>
    <w:rsid w:val="00C21711"/>
    <w:rsid w:val="00C37567"/>
    <w:rsid w:val="00C42AF0"/>
    <w:rsid w:val="00CA01F2"/>
    <w:rsid w:val="00CB79F5"/>
    <w:rsid w:val="00DC122F"/>
    <w:rsid w:val="00DD5E26"/>
    <w:rsid w:val="00E768A3"/>
    <w:rsid w:val="00EA2756"/>
    <w:rsid w:val="00EE0086"/>
    <w:rsid w:val="00F42172"/>
    <w:rsid w:val="00FA59C0"/>
    <w:rsid w:val="00FC73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08C8"/>
  <w15:docId w15:val="{716847D1-297B-4BF0-A9CC-FCE6C6B2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5E"/>
    <w:pPr>
      <w:overflowPunct w:val="0"/>
      <w:autoSpaceDE w:val="0"/>
      <w:autoSpaceDN w:val="0"/>
      <w:adjustRightInd w:val="0"/>
    </w:pPr>
  </w:style>
  <w:style w:type="paragraph" w:styleId="Ttulo1">
    <w:name w:val="heading 1"/>
    <w:basedOn w:val="Normal1"/>
    <w:next w:val="Normal1"/>
    <w:link w:val="Ttulo1Car"/>
    <w:uiPriority w:val="9"/>
    <w:qFormat/>
    <w:rsid w:val="00877CD9"/>
    <w:pPr>
      <w:keepNext/>
      <w:spacing w:line="480" w:lineRule="auto"/>
      <w:outlineLvl w:val="0"/>
    </w:pPr>
    <w:rPr>
      <w:b/>
      <w:sz w:val="24"/>
      <w:szCs w:val="24"/>
    </w:rPr>
  </w:style>
  <w:style w:type="paragraph" w:styleId="Ttulo2">
    <w:name w:val="heading 2"/>
    <w:basedOn w:val="Normal"/>
    <w:next w:val="Normal"/>
    <w:link w:val="Ttulo2Car"/>
    <w:uiPriority w:val="9"/>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link w:val="PuestoCar"/>
    <w:uiPriority w:val="10"/>
    <w:qFormat/>
    <w:rsid w:val="00877CD9"/>
    <w:pPr>
      <w:spacing w:before="240" w:after="60"/>
    </w:pPr>
    <w:rPr>
      <w:b/>
      <w:sz w:val="32"/>
      <w:szCs w:val="32"/>
    </w:rPr>
  </w:style>
  <w:style w:type="paragraph" w:styleId="Encabezado">
    <w:name w:val="header"/>
    <w:basedOn w:val="Normal"/>
    <w:link w:val="EncabezadoCar"/>
    <w:unhideWhenUsed/>
    <w:rsid w:val="00B3628C"/>
    <w:pPr>
      <w:tabs>
        <w:tab w:val="center" w:pos="4419"/>
        <w:tab w:val="right" w:pos="8838"/>
      </w:tabs>
    </w:pPr>
  </w:style>
  <w:style w:type="character" w:customStyle="1" w:styleId="EncabezadoCar">
    <w:name w:val="Encabezado Car"/>
    <w:basedOn w:val="Fuentedeprrafopredeter"/>
    <w:link w:val="Encabezado"/>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character" w:customStyle="1" w:styleId="PuestoCar">
    <w:name w:val="Puesto Car"/>
    <w:basedOn w:val="Fuentedeprrafopredeter"/>
    <w:link w:val="Puest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independiente">
    <w:name w:val="Body Text"/>
    <w:basedOn w:val="Normal"/>
    <w:link w:val="TextoindependienteCar"/>
    <w:rsid w:val="000D5226"/>
    <w:pPr>
      <w:overflowPunct/>
      <w:autoSpaceDE/>
      <w:autoSpaceDN/>
      <w:adjustRightInd/>
      <w:jc w:val="both"/>
    </w:pPr>
    <w:rPr>
      <w:rFonts w:eastAsia="Calibri"/>
      <w:sz w:val="24"/>
      <w:szCs w:val="24"/>
      <w:lang w:val="es-ES" w:eastAsia="es-ES"/>
    </w:rPr>
  </w:style>
  <w:style w:type="character" w:customStyle="1" w:styleId="TextoindependienteCar">
    <w:name w:val="Texto independiente Car"/>
    <w:basedOn w:val="Fuentedeprrafopredeter"/>
    <w:link w:val="Textoindependiente"/>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TtulodeTDC">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 w:type="character" w:customStyle="1" w:styleId="EncabezadoCar1">
    <w:name w:val="Encabezado Car1"/>
    <w:rsid w:val="00FE3135"/>
    <w:rPr>
      <w:rFonts w:ascii="Calibri" w:eastAsia="Calibri" w:hAnsi="Calibri" w:cs="Times New Roman"/>
      <w:lang w:eastAsia="zh-CN"/>
    </w:rPr>
  </w:style>
  <w:style w:type="character" w:customStyle="1" w:styleId="PiedepginaCar1">
    <w:name w:val="Pie de página Car1"/>
    <w:rsid w:val="00FE3135"/>
    <w:rPr>
      <w:rFonts w:ascii="Calibri" w:eastAsia="Calibri" w:hAnsi="Calibri" w:cs="Times New Roman"/>
      <w:lang w:eastAsia="zh-CN"/>
    </w:rPr>
  </w:style>
  <w:style w:type="character" w:styleId="Hipervnculovisitado">
    <w:name w:val="FollowedHyperlink"/>
    <w:basedOn w:val="Fuentedeprrafopredeter"/>
    <w:uiPriority w:val="99"/>
    <w:semiHidden/>
    <w:unhideWhenUsed/>
    <w:rsid w:val="000B7BBA"/>
    <w:rPr>
      <w:color w:val="800080" w:themeColor="followedHyperlink"/>
      <w:u w:val="single"/>
    </w:rPr>
  </w:style>
  <w:style w:type="paragraph" w:styleId="Revisin">
    <w:name w:val="Revision"/>
    <w:hidden/>
    <w:uiPriority w:val="99"/>
    <w:semiHidden/>
    <w:rsid w:val="00C75EB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paragraph" w:styleId="TDC3">
    <w:name w:val="toc 3"/>
    <w:basedOn w:val="Normal"/>
    <w:next w:val="Normal"/>
    <w:autoRedefine/>
    <w:uiPriority w:val="39"/>
    <w:unhideWhenUsed/>
    <w:rsid w:val="007A3C7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129322">
      <w:bodyDiv w:val="1"/>
      <w:marLeft w:val="0"/>
      <w:marRight w:val="0"/>
      <w:marTop w:val="0"/>
      <w:marBottom w:val="0"/>
      <w:divBdr>
        <w:top w:val="none" w:sz="0" w:space="0" w:color="auto"/>
        <w:left w:val="none" w:sz="0" w:space="0" w:color="auto"/>
        <w:bottom w:val="none" w:sz="0" w:space="0" w:color="auto"/>
        <w:right w:val="none" w:sz="0" w:space="0" w:color="auto"/>
      </w:divBdr>
    </w:div>
    <w:div w:id="213610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dep.edu.co/?q=content/estrategia-de-rendici%C3%B3n-de-cuentas"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iviana%20Monroy\Documents\IDEP_Planeaci&#243;n\RdC\AUTODIAGNOSTICO%20RENDICION2020_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viana%20Monroy\Documents\IDEP_Planeaci&#243;n\RdC\AUTODIAGNOSTICO%20RENDICION2020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97E-2"/>
          <c:y val="3.65296660372686E-2"/>
          <c:w val="0.94845553307279318"/>
          <c:h val="0.80193651682704903"/>
        </c:manualLayout>
      </c:layout>
      <c:barChart>
        <c:barDir val="col"/>
        <c:grouping val="clustered"/>
        <c:varyColors val="0"/>
        <c:ser>
          <c:idx val="0"/>
          <c:order val="0"/>
          <c:tx>
            <c:strRef>
              <c:f>'Gráficas '!$K$34</c:f>
              <c:strCache>
                <c:ptCount val="1"/>
                <c:pt idx="0">
                  <c:v>Rangos</c:v>
                </c:pt>
              </c:strCache>
            </c:strRef>
          </c:tx>
          <c:spPr>
            <a:gradFill>
              <a:gsLst>
                <a:gs pos="0">
                  <a:srgbClr val="009900"/>
                </a:gs>
                <a:gs pos="21000">
                  <a:srgbClr val="FFFF00"/>
                </a:gs>
                <a:gs pos="77000">
                  <a:srgbClr val="FF0000"/>
                </a:gs>
                <a:gs pos="33000">
                  <a:srgbClr val="FFFF00"/>
                </a:gs>
                <a:gs pos="56000">
                  <a:srgbClr val="FF6600"/>
                </a:gs>
                <a:gs pos="100000">
                  <a:srgbClr val="8E0000"/>
                </a:gs>
              </a:gsLst>
              <a:lin ang="5400000" scaled="0"/>
            </a:gradFill>
            <a:ln>
              <a:noFill/>
            </a:ln>
            <a:effectLst/>
          </c:spPr>
          <c:invertIfNegative val="0"/>
          <c:cat>
            <c:strRef>
              <c:f>'Gráficas '!$J$35:$J$39</c:f>
              <c:strCache>
                <c:ptCount val="5"/>
                <c:pt idx="0">
                  <c:v>Aprestamiento institucional para promover la Rendición de Cuentas</c:v>
                </c:pt>
                <c:pt idx="1">
                  <c:v>Diseño de la Estrategia de Rendición de Cuentas</c:v>
                </c:pt>
                <c:pt idx="2">
                  <c:v>Preparación para la Rendición de Cuentas</c:v>
                </c:pt>
                <c:pt idx="3">
                  <c:v>Ejecución de la Estrategia de Rendición de Cuentas</c:v>
                </c:pt>
                <c:pt idx="4">
                  <c:v>Seguimiento y evaluación de la implementación de la Estrategia de Rendición de Cuentas</c:v>
                </c:pt>
              </c:strCache>
            </c:strRef>
          </c:cat>
          <c:val>
            <c:numRef>
              <c:f>'Gráficas '!$K$35:$K$39</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341E-4D17-ABDD-B1C2022F0FCA}"/>
            </c:ext>
          </c:extLst>
        </c:ser>
        <c:dLbls>
          <c:showLegendKey val="0"/>
          <c:showVal val="0"/>
          <c:showCatName val="0"/>
          <c:showSerName val="0"/>
          <c:showPercent val="0"/>
          <c:showBubbleSize val="0"/>
        </c:dLbls>
        <c:gapWidth val="150"/>
        <c:axId val="273571672"/>
        <c:axId val="273576376"/>
      </c:barChart>
      <c:scatterChart>
        <c:scatterStyle val="lineMarker"/>
        <c:varyColors val="0"/>
        <c:ser>
          <c:idx val="1"/>
          <c:order val="1"/>
          <c:tx>
            <c:strRef>
              <c:f>'Gráficas '!$L$34</c:f>
              <c:strCache>
                <c:ptCount val="1"/>
                <c:pt idx="0">
                  <c:v>Puntaje actual</c:v>
                </c:pt>
              </c:strCache>
            </c:strRef>
          </c:tx>
          <c:spPr>
            <a:ln w="25400" cap="rnd">
              <a:noFill/>
              <a:round/>
            </a:ln>
            <a:effectLst/>
          </c:spPr>
          <c:marker>
            <c:symbol val="dash"/>
            <c:size val="9"/>
            <c:spPr>
              <a:solidFill>
                <a:schemeClr val="tx1"/>
              </a:solidFill>
              <a:ln w="28575">
                <a:solidFill>
                  <a:schemeClr val="tx1"/>
                </a:solidFill>
              </a:ln>
              <a:effectLst/>
            </c:spPr>
          </c:marker>
          <c:dPt>
            <c:idx val="0"/>
            <c:marker>
              <c:spPr>
                <a:solidFill>
                  <a:schemeClr val="tx1"/>
                </a:solidFill>
                <a:ln w="28575">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341E-4D17-ABDD-B1C2022F0FCA}"/>
              </c:ext>
            </c:extLst>
          </c:dPt>
          <c:dPt>
            <c:idx val="1"/>
            <c:marker>
              <c:spPr>
                <a:solidFill>
                  <a:schemeClr val="tx1"/>
                </a:solidFill>
                <a:ln w="28575">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341E-4D17-ABDD-B1C2022F0FCA}"/>
              </c:ext>
            </c:extLst>
          </c:dPt>
          <c:dPt>
            <c:idx val="2"/>
            <c:marker>
              <c:spPr>
                <a:solidFill>
                  <a:schemeClr val="tx1"/>
                </a:solidFill>
                <a:ln w="28575">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341E-4D17-ABDD-B1C2022F0FCA}"/>
              </c:ext>
            </c:extLst>
          </c:dPt>
          <c:dPt>
            <c:idx val="3"/>
            <c:marker>
              <c:spPr>
                <a:solidFill>
                  <a:schemeClr val="tx1"/>
                </a:solidFill>
                <a:ln w="28575">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341E-4D17-ABDD-B1C2022F0FCA}"/>
              </c:ext>
            </c:extLst>
          </c:dPt>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 '!$J$35:$J$39</c:f>
              <c:strCache>
                <c:ptCount val="5"/>
                <c:pt idx="0">
                  <c:v>Aprestamiento institucional para promover la Rendición de Cuentas</c:v>
                </c:pt>
                <c:pt idx="1">
                  <c:v>Diseño de la Estrategia de Rendición de Cuentas</c:v>
                </c:pt>
                <c:pt idx="2">
                  <c:v>Preparación para la Rendición de Cuentas</c:v>
                </c:pt>
                <c:pt idx="3">
                  <c:v>Ejecución de la Estrategia de Rendición de Cuentas</c:v>
                </c:pt>
                <c:pt idx="4">
                  <c:v>Seguimiento y evaluación de la implementación de la Estrategia de Rendición de Cuentas</c:v>
                </c:pt>
              </c:strCache>
            </c:strRef>
          </c:xVal>
          <c:yVal>
            <c:numRef>
              <c:f>'Gráficas '!$L$35:$L$39</c:f>
              <c:numCache>
                <c:formatCode>0.0</c:formatCode>
                <c:ptCount val="5"/>
                <c:pt idx="0">
                  <c:v>87.5</c:v>
                </c:pt>
                <c:pt idx="1">
                  <c:v>79.473684210526315</c:v>
                </c:pt>
                <c:pt idx="2">
                  <c:v>88.63636363636364</c:v>
                </c:pt>
                <c:pt idx="3">
                  <c:v>84.285714285714292</c:v>
                </c:pt>
                <c:pt idx="4">
                  <c:v>76.818181818181813</c:v>
                </c:pt>
              </c:numCache>
            </c:numRef>
          </c:yVal>
          <c:smooth val="0"/>
          <c:extLst xmlns:c16r2="http://schemas.microsoft.com/office/drawing/2015/06/chart">
            <c:ext xmlns:c16="http://schemas.microsoft.com/office/drawing/2014/chart" uri="{C3380CC4-5D6E-409C-BE32-E72D297353CC}">
              <c16:uniqueId val="{00000006-341E-4D17-ABDD-B1C2022F0FCA}"/>
            </c:ext>
          </c:extLst>
        </c:ser>
        <c:dLbls>
          <c:showLegendKey val="0"/>
          <c:showVal val="0"/>
          <c:showCatName val="0"/>
          <c:showSerName val="0"/>
          <c:showPercent val="0"/>
          <c:showBubbleSize val="0"/>
        </c:dLbls>
        <c:axId val="273571672"/>
        <c:axId val="273576376"/>
      </c:scatterChart>
      <c:catAx>
        <c:axId val="273571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273576376"/>
        <c:crosses val="autoZero"/>
        <c:auto val="1"/>
        <c:lblAlgn val="ctr"/>
        <c:lblOffset val="100"/>
        <c:noMultiLvlLbl val="0"/>
      </c:catAx>
      <c:valAx>
        <c:axId val="27357637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CO"/>
          </a:p>
        </c:txPr>
        <c:crossAx val="27357167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97E-2"/>
          <c:y val="3.65296660372686E-2"/>
          <c:w val="0.91918152892341298"/>
          <c:h val="0.80193651682704903"/>
        </c:manualLayout>
      </c:layout>
      <c:barChart>
        <c:barDir val="col"/>
        <c:grouping val="clustered"/>
        <c:varyColors val="0"/>
        <c:ser>
          <c:idx val="0"/>
          <c:order val="0"/>
          <c:tx>
            <c:strRef>
              <c:f>'Gráficas '!$K$34</c:f>
              <c:strCache>
                <c:ptCount val="1"/>
                <c:pt idx="0">
                  <c:v>Rangos</c:v>
                </c:pt>
              </c:strCache>
            </c:strRef>
          </c:tx>
          <c:spPr>
            <a:gradFill>
              <a:gsLst>
                <a:gs pos="0">
                  <a:srgbClr val="009900"/>
                </a:gs>
                <a:gs pos="21000">
                  <a:srgbClr val="FFFF00"/>
                </a:gs>
                <a:gs pos="77000">
                  <a:srgbClr val="FF0000"/>
                </a:gs>
                <a:gs pos="33000">
                  <a:srgbClr val="FFFF00"/>
                </a:gs>
                <a:gs pos="56000">
                  <a:srgbClr val="FF6600"/>
                </a:gs>
                <a:gs pos="100000">
                  <a:srgbClr val="8E0000"/>
                </a:gs>
              </a:gsLst>
              <a:lin ang="5400000" scaled="0"/>
            </a:gradFill>
            <a:ln>
              <a:noFill/>
            </a:ln>
            <a:effectLst/>
          </c:spPr>
          <c:invertIfNegative val="0"/>
          <c:cat>
            <c:strRef>
              <c:f>'Gráficas '!$J$162</c:f>
              <c:strCache>
                <c:ptCount val="1"/>
                <c:pt idx="0">
                  <c:v>Cuantificar el impacto de las acciones de rendición de cuentas para divulgarlos a la ciudadanía</c:v>
                </c:pt>
              </c:strCache>
            </c:strRef>
          </c:cat>
          <c:val>
            <c:numRef>
              <c:f>'Gráficas '!$K$162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9822-431E-A94D-217EE259F0DA}"/>
            </c:ext>
          </c:extLst>
        </c:ser>
        <c:dLbls>
          <c:showLegendKey val="0"/>
          <c:showVal val="0"/>
          <c:showCatName val="0"/>
          <c:showSerName val="0"/>
          <c:showPercent val="0"/>
          <c:showBubbleSize val="0"/>
        </c:dLbls>
        <c:gapWidth val="150"/>
        <c:axId val="273574024"/>
        <c:axId val="273574416"/>
      </c:barChart>
      <c:scatterChart>
        <c:scatterStyle val="lineMarker"/>
        <c:varyColors val="0"/>
        <c:ser>
          <c:idx val="1"/>
          <c:order val="1"/>
          <c:tx>
            <c:strRef>
              <c:f>'Gráficas '!$L$34</c:f>
              <c:strCache>
                <c:ptCount val="1"/>
                <c:pt idx="0">
                  <c:v>Puntaje actual</c:v>
                </c:pt>
              </c:strCache>
            </c:strRef>
          </c:tx>
          <c:spPr>
            <a:ln w="25400" cap="rnd">
              <a:noFill/>
              <a:round/>
            </a:ln>
            <a:effectLst/>
          </c:spPr>
          <c:marker>
            <c:symbol val="dash"/>
            <c:size val="9"/>
            <c:spPr>
              <a:solidFill>
                <a:schemeClr val="tx1"/>
              </a:solidFill>
              <a:ln w="28575">
                <a:solidFill>
                  <a:schemeClr val="tx1"/>
                </a:solidFill>
              </a:ln>
              <a:effectLst/>
            </c:spPr>
          </c:marker>
          <c:dPt>
            <c:idx val="0"/>
            <c:marker>
              <c:spPr>
                <a:solidFill>
                  <a:schemeClr val="tx1"/>
                </a:solidFill>
                <a:ln w="28575">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9822-431E-A94D-217EE259F0DA}"/>
              </c:ext>
            </c:extLst>
          </c:dPt>
          <c:dPt>
            <c:idx val="1"/>
            <c:marker>
              <c:spPr>
                <a:solidFill>
                  <a:schemeClr val="tx1"/>
                </a:solidFill>
                <a:ln w="28575">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9822-431E-A94D-217EE259F0DA}"/>
              </c:ext>
            </c:extLst>
          </c:dPt>
          <c:dPt>
            <c:idx val="2"/>
            <c:marker>
              <c:spPr>
                <a:solidFill>
                  <a:schemeClr val="tx1"/>
                </a:solidFill>
                <a:ln w="28575">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9822-431E-A94D-217EE259F0DA}"/>
              </c:ext>
            </c:extLst>
          </c:dPt>
          <c:dPt>
            <c:idx val="3"/>
            <c:marker>
              <c:spPr>
                <a:solidFill>
                  <a:schemeClr val="tx1"/>
                </a:solidFill>
                <a:ln w="28575">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9822-431E-A94D-217EE259F0DA}"/>
              </c:ext>
            </c:extLst>
          </c:dPt>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 '!$J$162</c:f>
              <c:strCache>
                <c:ptCount val="1"/>
                <c:pt idx="0">
                  <c:v>Cuantificar el impacto de las acciones de rendición de cuentas para divulgarlos a la ciudadanía</c:v>
                </c:pt>
              </c:strCache>
            </c:strRef>
          </c:xVal>
          <c:yVal>
            <c:numRef>
              <c:f>'Gráficas '!$L$162</c:f>
              <c:numCache>
                <c:formatCode>0</c:formatCode>
                <c:ptCount val="1"/>
                <c:pt idx="0">
                  <c:v>76.818181818181813</c:v>
                </c:pt>
              </c:numCache>
            </c:numRef>
          </c:yVal>
          <c:smooth val="0"/>
          <c:extLst xmlns:c16r2="http://schemas.microsoft.com/office/drawing/2015/06/chart">
            <c:ext xmlns:c16="http://schemas.microsoft.com/office/drawing/2014/chart" uri="{C3380CC4-5D6E-409C-BE32-E72D297353CC}">
              <c16:uniqueId val="{00000006-9822-431E-A94D-217EE259F0DA}"/>
            </c:ext>
          </c:extLst>
        </c:ser>
        <c:dLbls>
          <c:showLegendKey val="0"/>
          <c:showVal val="0"/>
          <c:showCatName val="0"/>
          <c:showSerName val="0"/>
          <c:showPercent val="0"/>
          <c:showBubbleSize val="0"/>
        </c:dLbls>
        <c:axId val="273574024"/>
        <c:axId val="273574416"/>
      </c:scatterChart>
      <c:catAx>
        <c:axId val="27357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273574416"/>
        <c:crosses val="autoZero"/>
        <c:auto val="1"/>
        <c:lblAlgn val="ctr"/>
        <c:lblOffset val="100"/>
        <c:noMultiLvlLbl val="0"/>
      </c:catAx>
      <c:valAx>
        <c:axId val="27357441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CO"/>
          </a:p>
        </c:txPr>
        <c:crossAx val="27357402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bewJ6fSfjIc8ycc4Am9HUewyw==">AMUW2mU2dvCiQU45xbN4t+buwAjkkz4lRhCBfzlwTMIZa+d+Ir0zIOQTUamwMoRngvcs0++FBWofGLl86XblSGsGoJknHbEOz3AIijCvi5CU+bQmGsKcavMCYMz5WFK/pyw3QaNVuO/KFavYFl7q9pIa5GaXyfeA6GOg8Vql3qGlTu8QJcPjEHkX4H9izeTTrycr/45NinQOwPsoTOCtEHHSxUG1eyHeP+XVxLu9tm2YyAiw0UgRFAfGBq8KBtpHfqj+E7oelbPcHFTzQBXrsAsvaEU0YjTPUbVXJXZWrzIXzk9zkSgh+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C31F4F-10AA-4AE2-9B67-3681847E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4983</Words>
  <Characters>27408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cortiz</dc:creator>
  <cp:lastModifiedBy>Cuenta Microsoft</cp:lastModifiedBy>
  <cp:revision>2</cp:revision>
  <cp:lastPrinted>2021-03-31T12:04:00Z</cp:lastPrinted>
  <dcterms:created xsi:type="dcterms:W3CDTF">2021-07-30T12:14:00Z</dcterms:created>
  <dcterms:modified xsi:type="dcterms:W3CDTF">2021-07-30T12:14:00Z</dcterms:modified>
</cp:coreProperties>
</file>